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0B87F" w14:textId="77777777" w:rsidR="004A26CE" w:rsidRPr="009B2FC0" w:rsidRDefault="004A26CE" w:rsidP="004A26CE">
      <w:pPr>
        <w:jc w:val="center"/>
        <w:rPr>
          <w:rFonts w:ascii="Aptos" w:hAnsi="Aptos"/>
          <w:b/>
          <w:bCs/>
          <w:color w:val="000000" w:themeColor="text1"/>
        </w:rPr>
      </w:pPr>
      <w:r w:rsidRPr="009B2FC0">
        <w:rPr>
          <w:rFonts w:ascii="Aptos" w:hAnsi="Aptos"/>
          <w:b/>
          <w:bCs/>
          <w:color w:val="000000" w:themeColor="text1"/>
        </w:rPr>
        <w:t>Poder Judiciário</w:t>
      </w:r>
    </w:p>
    <w:p w14:paraId="3332AAB1" w14:textId="77777777" w:rsidR="004A26CE" w:rsidRPr="009B2FC0" w:rsidRDefault="004A26CE" w:rsidP="004A26CE">
      <w:pPr>
        <w:jc w:val="center"/>
        <w:rPr>
          <w:rFonts w:ascii="Aptos" w:hAnsi="Aptos"/>
          <w:b/>
          <w:bCs/>
          <w:caps/>
          <w:color w:val="000000" w:themeColor="text1"/>
        </w:rPr>
      </w:pPr>
      <w:r w:rsidRPr="009B2FC0">
        <w:rPr>
          <w:rFonts w:ascii="Aptos" w:hAnsi="Aptos"/>
          <w:b/>
          <w:bCs/>
          <w:caps/>
          <w:color w:val="000000" w:themeColor="text1"/>
        </w:rPr>
        <w:t>JUSTIÇA FEDERAL</w:t>
      </w:r>
    </w:p>
    <w:p w14:paraId="39CB17E0" w14:textId="77777777" w:rsidR="004A26CE" w:rsidRPr="009B2FC0" w:rsidRDefault="004A26CE" w:rsidP="004A26CE">
      <w:pPr>
        <w:jc w:val="center"/>
        <w:rPr>
          <w:rFonts w:ascii="Aptos" w:hAnsi="Aptos"/>
          <w:b/>
          <w:bCs/>
          <w:color w:val="000000" w:themeColor="text1"/>
        </w:rPr>
      </w:pPr>
      <w:r w:rsidRPr="009B2FC0">
        <w:rPr>
          <w:rFonts w:ascii="Aptos" w:hAnsi="Aptos"/>
          <w:b/>
          <w:bCs/>
          <w:color w:val="000000" w:themeColor="text1"/>
        </w:rPr>
        <w:t>Seção Judiciária do Rio Grande do Sul</w:t>
      </w:r>
    </w:p>
    <w:p w14:paraId="3F5FC278" w14:textId="77777777" w:rsidR="004A26CE" w:rsidRPr="009B2FC0" w:rsidRDefault="004A26CE" w:rsidP="004A26CE">
      <w:pPr>
        <w:jc w:val="center"/>
        <w:rPr>
          <w:rFonts w:ascii="Aptos" w:hAnsi="Aptos"/>
          <w:b/>
          <w:bCs/>
          <w:color w:val="000000" w:themeColor="text1"/>
        </w:rPr>
      </w:pPr>
      <w:r w:rsidRPr="009B2FC0">
        <w:rPr>
          <w:rFonts w:ascii="Aptos" w:hAnsi="Aptos"/>
          <w:b/>
          <w:bCs/>
          <w:color w:val="000000" w:themeColor="text1"/>
        </w:rPr>
        <w:t>4ª Vara Federal de Caxias do Sul</w:t>
      </w:r>
    </w:p>
    <w:p w14:paraId="57B4441E" w14:textId="77777777" w:rsidR="004A26CE" w:rsidRPr="009B2FC0" w:rsidRDefault="004A26CE" w:rsidP="004A26CE">
      <w:pPr>
        <w:pStyle w:val="endereco"/>
        <w:spacing w:before="0" w:beforeAutospacing="0" w:after="0" w:afterAutospacing="0"/>
        <w:jc w:val="center"/>
        <w:textAlignment w:val="top"/>
        <w:rPr>
          <w:rFonts w:ascii="Aptos" w:hAnsi="Aptos"/>
          <w:color w:val="000000" w:themeColor="text1"/>
        </w:rPr>
      </w:pPr>
      <w:r w:rsidRPr="009B2FC0">
        <w:rPr>
          <w:rFonts w:ascii="Aptos" w:hAnsi="Aptos"/>
          <w:color w:val="000000" w:themeColor="text1"/>
        </w:rPr>
        <w:t>Rua Dr. Montaury, 241, 3º andar - ala norte - Bairro: Madureira - CEP: 95020-190 - Fone: (54) 3290-3247 - WhatsApp: (54) 3290-3245 - Email: rscax04@jfrs.jus.br</w:t>
      </w:r>
    </w:p>
    <w:p w14:paraId="39A61A86" w14:textId="77777777" w:rsidR="004A26CE" w:rsidRPr="009B2FC0" w:rsidRDefault="004A26CE" w:rsidP="004A26CE">
      <w:pPr>
        <w:pStyle w:val="identificacaoprocesso"/>
        <w:spacing w:before="0" w:beforeAutospacing="0" w:after="0" w:afterAutospacing="0"/>
        <w:rPr>
          <w:rFonts w:ascii="Aptos" w:hAnsi="Aptos"/>
          <w:b/>
          <w:bCs/>
          <w:caps/>
          <w:color w:val="000000" w:themeColor="text1"/>
        </w:rPr>
      </w:pPr>
      <w:r w:rsidRPr="009B2FC0">
        <w:rPr>
          <w:rFonts w:ascii="Aptos" w:hAnsi="Aptos"/>
          <w:b/>
          <w:bCs/>
          <w:caps/>
          <w:color w:val="000000" w:themeColor="text1"/>
        </w:rPr>
        <w:t>EXECUÇÃO FISCAL Nº 5011614-64.2012.4.04.7107/RS</w:t>
      </w:r>
    </w:p>
    <w:p w14:paraId="34546889" w14:textId="77777777" w:rsidR="004A26CE" w:rsidRPr="009B2FC0" w:rsidRDefault="004A26CE" w:rsidP="004A26CE">
      <w:pPr>
        <w:pStyle w:val="parte"/>
        <w:spacing w:before="0" w:beforeAutospacing="0" w:after="0" w:afterAutospacing="0"/>
        <w:rPr>
          <w:rFonts w:ascii="Aptos" w:hAnsi="Aptos"/>
          <w:color w:val="000000" w:themeColor="text1"/>
        </w:rPr>
      </w:pPr>
      <w:r w:rsidRPr="009B2FC0">
        <w:rPr>
          <w:rStyle w:val="tipoparte"/>
          <w:rFonts w:ascii="Aptos" w:hAnsi="Aptos"/>
          <w:b/>
          <w:bCs/>
          <w:caps/>
          <w:color w:val="000000" w:themeColor="text1"/>
        </w:rPr>
        <w:t>EXEQUENTE</w:t>
      </w:r>
      <w:r w:rsidRPr="009B2FC0">
        <w:rPr>
          <w:rFonts w:ascii="Aptos" w:hAnsi="Aptos"/>
          <w:color w:val="000000" w:themeColor="text1"/>
        </w:rPr>
        <w:t>: </w:t>
      </w:r>
      <w:r w:rsidRPr="009B2FC0">
        <w:rPr>
          <w:rStyle w:val="nomeparte"/>
          <w:rFonts w:ascii="Aptos" w:eastAsiaTheme="majorEastAsia" w:hAnsi="Aptos"/>
          <w:caps/>
          <w:color w:val="000000" w:themeColor="text1"/>
        </w:rPr>
        <w:t>UNIÃO - FAZENDA NACIONAL</w:t>
      </w:r>
    </w:p>
    <w:p w14:paraId="253B3227" w14:textId="77777777" w:rsidR="004A26CE" w:rsidRPr="009B2FC0" w:rsidRDefault="004A26CE" w:rsidP="004A26CE">
      <w:pPr>
        <w:pStyle w:val="parte"/>
        <w:spacing w:before="0" w:beforeAutospacing="0" w:after="0" w:afterAutospacing="0"/>
        <w:rPr>
          <w:rFonts w:ascii="Aptos" w:hAnsi="Aptos"/>
          <w:color w:val="000000" w:themeColor="text1"/>
        </w:rPr>
      </w:pPr>
      <w:r w:rsidRPr="009B2FC0">
        <w:rPr>
          <w:rStyle w:val="tipoparte"/>
          <w:rFonts w:ascii="Aptos" w:hAnsi="Aptos"/>
          <w:b/>
          <w:bCs/>
          <w:caps/>
          <w:color w:val="000000" w:themeColor="text1"/>
        </w:rPr>
        <w:t>EXECUTADO</w:t>
      </w:r>
      <w:r w:rsidRPr="009B2FC0">
        <w:rPr>
          <w:rFonts w:ascii="Aptos" w:hAnsi="Aptos"/>
          <w:color w:val="000000" w:themeColor="text1"/>
        </w:rPr>
        <w:t>: </w:t>
      </w:r>
      <w:r w:rsidRPr="009B2FC0">
        <w:rPr>
          <w:rStyle w:val="nomeparte"/>
          <w:rFonts w:ascii="Aptos" w:eastAsiaTheme="majorEastAsia" w:hAnsi="Aptos"/>
          <w:caps/>
          <w:color w:val="000000" w:themeColor="text1"/>
        </w:rPr>
        <w:t>MARIA DO ROSARIO RIBEIRO MENDES</w:t>
      </w:r>
    </w:p>
    <w:p w14:paraId="6AFFC899" w14:textId="77777777" w:rsidR="004A26CE" w:rsidRPr="009B2FC0" w:rsidRDefault="004A26CE" w:rsidP="004A26CE">
      <w:pPr>
        <w:pStyle w:val="representante"/>
        <w:spacing w:before="0" w:beforeAutospacing="0" w:after="0" w:afterAutospacing="0"/>
        <w:rPr>
          <w:rFonts w:ascii="Aptos" w:hAnsi="Aptos"/>
          <w:color w:val="000000" w:themeColor="text1"/>
        </w:rPr>
      </w:pPr>
      <w:r w:rsidRPr="009B2FC0">
        <w:rPr>
          <w:rStyle w:val="tipoparterepresentante"/>
          <w:rFonts w:ascii="Aptos" w:hAnsi="Aptos"/>
          <w:b/>
          <w:bCs/>
          <w:caps/>
          <w:color w:val="000000" w:themeColor="text1"/>
        </w:rPr>
        <w:t>ADVOGADO(A)</w:t>
      </w:r>
      <w:r w:rsidRPr="009B2FC0">
        <w:rPr>
          <w:rFonts w:ascii="Aptos" w:hAnsi="Aptos"/>
          <w:color w:val="000000" w:themeColor="text1"/>
        </w:rPr>
        <w:t>: </w:t>
      </w:r>
      <w:r w:rsidRPr="009B2FC0">
        <w:rPr>
          <w:rStyle w:val="nomeparterepresentante"/>
          <w:rFonts w:ascii="Aptos" w:hAnsi="Aptos"/>
          <w:caps/>
          <w:color w:val="000000" w:themeColor="text1"/>
        </w:rPr>
        <w:t>ALEXANDRE NEVES ATTI (OAB RS055647)</w:t>
      </w:r>
    </w:p>
    <w:p w14:paraId="71BF8BE4" w14:textId="77777777" w:rsidR="004A26CE" w:rsidRPr="009B2FC0" w:rsidRDefault="004A26CE" w:rsidP="004A26CE">
      <w:pPr>
        <w:pStyle w:val="titulo"/>
        <w:spacing w:before="0" w:beforeAutospacing="0" w:after="0" w:afterAutospacing="0"/>
        <w:jc w:val="center"/>
        <w:rPr>
          <w:rFonts w:ascii="Aptos" w:hAnsi="Aptos"/>
          <w:b/>
          <w:bCs/>
          <w:caps/>
          <w:color w:val="000000" w:themeColor="text1"/>
        </w:rPr>
      </w:pPr>
      <w:r w:rsidRPr="009B2FC0">
        <w:rPr>
          <w:rFonts w:ascii="Aptos" w:hAnsi="Aptos"/>
          <w:b/>
          <w:bCs/>
          <w:caps/>
          <w:color w:val="000000" w:themeColor="text1"/>
        </w:rPr>
        <w:t>EDITAL Nº 710025280455</w:t>
      </w:r>
    </w:p>
    <w:p w14:paraId="5C66A2D6"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Style w:val="Forte"/>
          <w:rFonts w:ascii="Aptos" w:eastAsiaTheme="majorEastAsia" w:hAnsi="Aptos"/>
          <w:color w:val="000000" w:themeColor="text1"/>
        </w:rPr>
        <w:t>DESPACHO/DECISÃO - EDITAL</w:t>
      </w:r>
    </w:p>
    <w:p w14:paraId="6881D311"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Trata-se de execução fiscal apta à realização de leilão do bem penhorado, conforme diligências realizadas pela secretaria desta Vara.</w:t>
      </w:r>
    </w:p>
    <w:p w14:paraId="578B1F85"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Não houve interesse da parte exequente na adjudicação (art. 881 da Lei 13.105/2015), tampouco pedido para alienação por sua própria iniciativa ou por intermédio de corretor (art. 880, caput, da Lei 13.105/2015).</w:t>
      </w:r>
    </w:p>
    <w:p w14:paraId="0F45242F"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Dessa forma, com base no art. 730 da Lei 13.105/2015, determino a realização de leilão público para alienação do bem penhorado e avaliado (</w:t>
      </w:r>
      <w:hyperlink r:id="rId8" w:tgtFrame="_blank" w:history="1">
        <w:r w:rsidRPr="009B2FC0">
          <w:rPr>
            <w:rStyle w:val="Hyperlink"/>
            <w:rFonts w:ascii="Aptos" w:eastAsiaTheme="majorEastAsia" w:hAnsi="Aptos"/>
            <w:b/>
            <w:bCs/>
            <w:color w:val="000000" w:themeColor="text1"/>
          </w:rPr>
          <w:t>evento 17, AUTOPENHORA2</w:t>
        </w:r>
      </w:hyperlink>
      <w:r w:rsidRPr="009B2FC0">
        <w:rPr>
          <w:rFonts w:ascii="Aptos" w:hAnsi="Aptos"/>
          <w:color w:val="000000" w:themeColor="text1"/>
        </w:rPr>
        <w:t> e </w:t>
      </w:r>
      <w:hyperlink r:id="rId9" w:tgtFrame="_blank" w:history="1">
        <w:r w:rsidRPr="009B2FC0">
          <w:rPr>
            <w:rStyle w:val="Hyperlink"/>
            <w:rFonts w:ascii="Aptos" w:eastAsiaTheme="majorEastAsia" w:hAnsi="Aptos"/>
            <w:b/>
            <w:bCs/>
            <w:color w:val="000000" w:themeColor="text1"/>
          </w:rPr>
          <w:t>evento 17, AUTOPENHORA2</w:t>
        </w:r>
      </w:hyperlink>
      <w:r w:rsidRPr="009B2FC0">
        <w:rPr>
          <w:rFonts w:ascii="Aptos" w:hAnsi="Aptos"/>
          <w:color w:val="000000" w:themeColor="text1"/>
        </w:rPr>
        <w:t> e </w:t>
      </w:r>
      <w:hyperlink r:id="rId10" w:tgtFrame="_blank" w:history="1">
        <w:r w:rsidRPr="009B2FC0">
          <w:rPr>
            <w:rStyle w:val="Hyperlink"/>
            <w:rFonts w:ascii="Aptos" w:eastAsiaTheme="majorEastAsia" w:hAnsi="Aptos"/>
            <w:b/>
            <w:bCs/>
            <w:color w:val="000000" w:themeColor="text1"/>
          </w:rPr>
          <w:t>evento 55, LAUDO2</w:t>
        </w:r>
      </w:hyperlink>
      <w:r w:rsidRPr="009B2FC0">
        <w:rPr>
          <w:rFonts w:ascii="Aptos" w:hAnsi="Aptos"/>
          <w:color w:val="000000" w:themeColor="text1"/>
        </w:rPr>
        <w:t>), assim descrito:</w:t>
      </w:r>
    </w:p>
    <w:p w14:paraId="6A89E402" w14:textId="77777777" w:rsidR="004A26CE" w:rsidRPr="009B2FC0" w:rsidRDefault="004A26CE" w:rsidP="004A26CE">
      <w:pPr>
        <w:pStyle w:val="citacao"/>
        <w:spacing w:before="0" w:beforeAutospacing="0" w:after="0" w:afterAutospacing="0"/>
        <w:ind w:left="1411"/>
        <w:jc w:val="both"/>
        <w:rPr>
          <w:rFonts w:ascii="Aptos" w:hAnsi="Aptos"/>
          <w:i/>
          <w:iCs/>
          <w:color w:val="000000" w:themeColor="text1"/>
        </w:rPr>
      </w:pPr>
      <w:r w:rsidRPr="009B2FC0">
        <w:rPr>
          <w:rFonts w:ascii="Aptos" w:hAnsi="Aptos"/>
          <w:i/>
          <w:iCs/>
          <w:color w:val="000000" w:themeColor="text1"/>
        </w:rPr>
        <w:t>01) </w:t>
      </w:r>
      <w:r w:rsidRPr="009B2FC0">
        <w:rPr>
          <w:rStyle w:val="Forte"/>
          <w:rFonts w:ascii="Aptos" w:eastAsiaTheme="majorEastAsia" w:hAnsi="Aptos"/>
          <w:i/>
          <w:iCs/>
          <w:color w:val="000000" w:themeColor="text1"/>
          <w:u w:val="single"/>
        </w:rPr>
        <w:t>PENHORA sobre 52% (cinquenta e dois por cento) do imóvel</w:t>
      </w:r>
      <w:r w:rsidRPr="009B2FC0">
        <w:rPr>
          <w:rFonts w:ascii="Aptos" w:hAnsi="Aptos"/>
          <w:i/>
          <w:iCs/>
          <w:color w:val="000000" w:themeColor="text1"/>
        </w:rPr>
        <w:t xml:space="preserve"> de matrícula nº 27.516, do Registro de Imóveis da 1ª Zona de Caxias do Sul/RS, de UM TERRENO URBANO, sito nesta cidade de Caxias do Sul, constituído pelo lote administrativo nº 06, da quadra nº 105, fazendo frente para a rua Hércules </w:t>
      </w:r>
      <w:proofErr w:type="spellStart"/>
      <w:r w:rsidRPr="009B2FC0">
        <w:rPr>
          <w:rFonts w:ascii="Aptos" w:hAnsi="Aptos"/>
          <w:i/>
          <w:iCs/>
          <w:color w:val="000000" w:themeColor="text1"/>
        </w:rPr>
        <w:t>Gallo</w:t>
      </w:r>
      <w:proofErr w:type="spellEnd"/>
      <w:r w:rsidRPr="009B2FC0">
        <w:rPr>
          <w:rFonts w:ascii="Aptos" w:hAnsi="Aptos"/>
          <w:i/>
          <w:iCs/>
          <w:color w:val="000000" w:themeColor="text1"/>
        </w:rPr>
        <w:t xml:space="preserve">, lado par, distando mais ou menos 52,50 metros da esquina com a Rua Visconde de Pelotas, no quarteirão formado pelas citadas vias, mais ruas Ernesto Alves e Visconde de Pelotas, contendo uma casa de madeira, para moradia, sob nº 600, possuindo dito terreno a área de 330,00m² (trezentos e trinta metros quadrados), e com as seguintes medidas e confrontações: ao Norte, por 11,00 metros, com a rua Hércules </w:t>
      </w:r>
      <w:proofErr w:type="spellStart"/>
      <w:r w:rsidRPr="009B2FC0">
        <w:rPr>
          <w:rFonts w:ascii="Aptos" w:hAnsi="Aptos"/>
          <w:i/>
          <w:iCs/>
          <w:color w:val="000000" w:themeColor="text1"/>
        </w:rPr>
        <w:t>Gallo</w:t>
      </w:r>
      <w:proofErr w:type="spellEnd"/>
      <w:r w:rsidRPr="009B2FC0">
        <w:rPr>
          <w:rFonts w:ascii="Aptos" w:hAnsi="Aptos"/>
          <w:i/>
          <w:iCs/>
          <w:color w:val="000000" w:themeColor="text1"/>
        </w:rPr>
        <w:t xml:space="preserve">; ao Sul, também por 11,00 metros, com o lote nº 05; de Anacleto e Raul Giordano; ao Leste, por 30,00 metros, com o lote nº 8, de Edgar </w:t>
      </w:r>
      <w:proofErr w:type="spellStart"/>
      <w:r w:rsidRPr="009B2FC0">
        <w:rPr>
          <w:rFonts w:ascii="Aptos" w:hAnsi="Aptos"/>
          <w:i/>
          <w:iCs/>
          <w:color w:val="000000" w:themeColor="text1"/>
        </w:rPr>
        <w:t>Angelo</w:t>
      </w:r>
      <w:proofErr w:type="spellEnd"/>
      <w:r w:rsidRPr="009B2FC0">
        <w:rPr>
          <w:rFonts w:ascii="Aptos" w:hAnsi="Aptos"/>
          <w:i/>
          <w:iCs/>
          <w:color w:val="000000" w:themeColor="text1"/>
        </w:rPr>
        <w:t xml:space="preserve"> Dalto; e, ao Oeste, também por 30,00 metros, com terras de Arnaldo Arlindo Kieling.</w:t>
      </w:r>
    </w:p>
    <w:p w14:paraId="46FCFEC3" w14:textId="77777777" w:rsidR="004A26CE" w:rsidRPr="009B2FC0" w:rsidRDefault="004A26CE" w:rsidP="004A26CE">
      <w:pPr>
        <w:pStyle w:val="citacao"/>
        <w:spacing w:before="0" w:beforeAutospacing="0" w:after="0" w:afterAutospacing="0"/>
        <w:ind w:left="1411"/>
        <w:jc w:val="both"/>
        <w:rPr>
          <w:rFonts w:ascii="Aptos" w:hAnsi="Aptos"/>
          <w:i/>
          <w:iCs/>
          <w:color w:val="000000" w:themeColor="text1"/>
        </w:rPr>
      </w:pPr>
      <w:r w:rsidRPr="009B2FC0">
        <w:rPr>
          <w:rFonts w:ascii="Aptos" w:hAnsi="Aptos"/>
          <w:i/>
          <w:iCs/>
          <w:color w:val="000000" w:themeColor="text1"/>
        </w:rPr>
        <w:t xml:space="preserve">Av.9: A área da casa constante no imóvel objeto desta matrícula é de 112,10m², sito na Rua Hércules </w:t>
      </w:r>
      <w:proofErr w:type="spellStart"/>
      <w:r w:rsidRPr="009B2FC0">
        <w:rPr>
          <w:rFonts w:ascii="Aptos" w:hAnsi="Aptos"/>
          <w:i/>
          <w:iCs/>
          <w:color w:val="000000" w:themeColor="text1"/>
        </w:rPr>
        <w:t>Gallo</w:t>
      </w:r>
      <w:proofErr w:type="spellEnd"/>
      <w:r w:rsidRPr="009B2FC0">
        <w:rPr>
          <w:rFonts w:ascii="Aptos" w:hAnsi="Aptos"/>
          <w:i/>
          <w:iCs/>
          <w:color w:val="000000" w:themeColor="text1"/>
        </w:rPr>
        <w:t>, sob n° 600. </w:t>
      </w:r>
    </w:p>
    <w:p w14:paraId="72C6571A" w14:textId="77777777" w:rsidR="004A26CE" w:rsidRPr="009B2FC0" w:rsidRDefault="004A26CE" w:rsidP="004A26CE">
      <w:pPr>
        <w:pStyle w:val="citacao"/>
        <w:spacing w:before="0" w:beforeAutospacing="0" w:after="0" w:afterAutospacing="0"/>
        <w:ind w:left="1411"/>
        <w:jc w:val="both"/>
        <w:rPr>
          <w:rFonts w:ascii="Aptos" w:hAnsi="Aptos"/>
          <w:i/>
          <w:iCs/>
          <w:color w:val="000000" w:themeColor="text1"/>
        </w:rPr>
      </w:pPr>
      <w:r w:rsidRPr="009B2FC0">
        <w:rPr>
          <w:rFonts w:ascii="Aptos" w:hAnsi="Aptos"/>
          <w:i/>
          <w:iCs/>
          <w:color w:val="000000" w:themeColor="text1"/>
        </w:rPr>
        <w:lastRenderedPageBreak/>
        <w:t xml:space="preserve">Av.10: Sobre o imóvel objeto desta matrícula, foi construído um prédio residencial em alvenaria, com dois pavimentos, com área total de 129,35m², regularizado através da Lei 166/2002 - Habite Legal, sito a Rua Hercules </w:t>
      </w:r>
      <w:proofErr w:type="spellStart"/>
      <w:r w:rsidRPr="009B2FC0">
        <w:rPr>
          <w:rFonts w:ascii="Aptos" w:hAnsi="Aptos"/>
          <w:i/>
          <w:iCs/>
          <w:color w:val="000000" w:themeColor="text1"/>
        </w:rPr>
        <w:t>Gallo</w:t>
      </w:r>
      <w:proofErr w:type="spellEnd"/>
      <w:r w:rsidRPr="009B2FC0">
        <w:rPr>
          <w:rFonts w:ascii="Aptos" w:hAnsi="Aptos"/>
          <w:i/>
          <w:iCs/>
          <w:color w:val="000000" w:themeColor="text1"/>
        </w:rPr>
        <w:t>, sob n° 600. </w:t>
      </w:r>
    </w:p>
    <w:p w14:paraId="3E087F99" w14:textId="77777777" w:rsidR="004A26CE" w:rsidRPr="009B2FC0" w:rsidRDefault="004A26CE" w:rsidP="004A26CE">
      <w:pPr>
        <w:pStyle w:val="citacao"/>
        <w:spacing w:before="0" w:beforeAutospacing="0" w:after="0" w:afterAutospacing="0"/>
        <w:ind w:left="1411"/>
        <w:jc w:val="both"/>
        <w:rPr>
          <w:rFonts w:ascii="Aptos" w:hAnsi="Aptos"/>
          <w:i/>
          <w:iCs/>
          <w:color w:val="000000" w:themeColor="text1"/>
        </w:rPr>
      </w:pPr>
      <w:r w:rsidRPr="009B2FC0">
        <w:rPr>
          <w:rFonts w:ascii="Aptos" w:hAnsi="Aptos"/>
          <w:i/>
          <w:iCs/>
          <w:color w:val="000000" w:themeColor="text1"/>
        </w:rPr>
        <w:t>Ônus vigentes:</w:t>
      </w:r>
    </w:p>
    <w:p w14:paraId="6713F3DC" w14:textId="77777777" w:rsidR="004A26CE" w:rsidRPr="009B2FC0" w:rsidRDefault="004A26CE" w:rsidP="004A26CE">
      <w:pPr>
        <w:pStyle w:val="citacao"/>
        <w:spacing w:before="0" w:beforeAutospacing="0" w:after="0" w:afterAutospacing="0"/>
        <w:ind w:left="1411"/>
        <w:jc w:val="both"/>
        <w:rPr>
          <w:rFonts w:ascii="Aptos" w:hAnsi="Aptos"/>
          <w:i/>
          <w:iCs/>
          <w:color w:val="000000" w:themeColor="text1"/>
        </w:rPr>
      </w:pPr>
      <w:r w:rsidRPr="009B2FC0">
        <w:rPr>
          <w:rStyle w:val="Forte"/>
          <w:rFonts w:ascii="Aptos" w:eastAsiaTheme="majorEastAsia" w:hAnsi="Aptos"/>
          <w:i/>
          <w:iCs/>
          <w:color w:val="000000" w:themeColor="text1"/>
        </w:rPr>
        <w:t>a) Av.11 e R.13/27.516:</w:t>
      </w:r>
      <w:r w:rsidRPr="009B2FC0">
        <w:rPr>
          <w:rFonts w:ascii="Aptos" w:hAnsi="Aptos"/>
          <w:i/>
          <w:iCs/>
          <w:color w:val="000000" w:themeColor="text1"/>
        </w:rPr>
        <w:t> Notícia de Penhora e Penhora nos autos do processo nº 5011614-64.2012.4.04.7107, em favor de União - Fazenda Nacional, em trâmite na 4ª Vara Federal de Caxias do Sul/RS;</w:t>
      </w:r>
    </w:p>
    <w:p w14:paraId="037F329D" w14:textId="77777777" w:rsidR="004A26CE" w:rsidRPr="009B2FC0" w:rsidRDefault="004A26CE" w:rsidP="004A26CE">
      <w:pPr>
        <w:pStyle w:val="citacao"/>
        <w:spacing w:before="0" w:beforeAutospacing="0" w:after="0" w:afterAutospacing="0"/>
        <w:ind w:left="1411"/>
        <w:jc w:val="both"/>
        <w:rPr>
          <w:rFonts w:ascii="Aptos" w:hAnsi="Aptos"/>
          <w:i/>
          <w:iCs/>
          <w:color w:val="000000" w:themeColor="text1"/>
        </w:rPr>
      </w:pPr>
      <w:r w:rsidRPr="009B2FC0">
        <w:rPr>
          <w:rStyle w:val="Forte"/>
          <w:rFonts w:ascii="Aptos" w:eastAsiaTheme="majorEastAsia" w:hAnsi="Aptos"/>
          <w:i/>
          <w:iCs/>
          <w:color w:val="000000" w:themeColor="text1"/>
        </w:rPr>
        <w:t>b) Av.15/27.516:</w:t>
      </w:r>
      <w:r w:rsidRPr="009B2FC0">
        <w:rPr>
          <w:rFonts w:ascii="Aptos" w:hAnsi="Aptos"/>
          <w:i/>
          <w:iCs/>
          <w:color w:val="000000" w:themeColor="text1"/>
        </w:rPr>
        <w:t> Indisponibilidade oriunda do processo nº 0010287-93.2014.5.15.0032, em trâmite na 2ª Vara do Trabalho de Campinas/SP;</w:t>
      </w:r>
    </w:p>
    <w:p w14:paraId="41C575E5" w14:textId="77777777" w:rsidR="004A26CE" w:rsidRPr="009B2FC0" w:rsidRDefault="004A26CE" w:rsidP="004A26CE">
      <w:pPr>
        <w:pStyle w:val="citacao"/>
        <w:spacing w:before="0" w:beforeAutospacing="0" w:after="0" w:afterAutospacing="0"/>
        <w:ind w:left="1411"/>
        <w:jc w:val="both"/>
        <w:rPr>
          <w:rFonts w:ascii="Aptos" w:hAnsi="Aptos"/>
          <w:i/>
          <w:iCs/>
          <w:color w:val="000000" w:themeColor="text1"/>
        </w:rPr>
      </w:pPr>
      <w:r w:rsidRPr="009B2FC0">
        <w:rPr>
          <w:rStyle w:val="Forte"/>
          <w:rFonts w:ascii="Aptos" w:eastAsiaTheme="majorEastAsia" w:hAnsi="Aptos"/>
          <w:i/>
          <w:iCs/>
          <w:color w:val="000000" w:themeColor="text1"/>
        </w:rPr>
        <w:t>c) Av.16/27.516:</w:t>
      </w:r>
      <w:r w:rsidRPr="009B2FC0">
        <w:rPr>
          <w:rFonts w:ascii="Aptos" w:hAnsi="Aptos"/>
          <w:i/>
          <w:iCs/>
          <w:color w:val="000000" w:themeColor="text1"/>
        </w:rPr>
        <w:t> Indisponibilidade oriunda do processo nº 0106600-84.1997.5.15.0106, em trâmite na 2ª Vara do Trabalho de São Carlos/SP;</w:t>
      </w:r>
    </w:p>
    <w:p w14:paraId="4F48A942" w14:textId="77777777" w:rsidR="004A26CE" w:rsidRPr="009B2FC0" w:rsidRDefault="004A26CE" w:rsidP="004A26CE">
      <w:pPr>
        <w:pStyle w:val="citacao"/>
        <w:spacing w:before="0" w:beforeAutospacing="0" w:after="0" w:afterAutospacing="0"/>
        <w:ind w:left="1411"/>
        <w:jc w:val="both"/>
        <w:rPr>
          <w:rFonts w:ascii="Aptos" w:hAnsi="Aptos"/>
          <w:i/>
          <w:iCs/>
          <w:color w:val="000000" w:themeColor="text1"/>
        </w:rPr>
      </w:pPr>
      <w:r w:rsidRPr="009B2FC0">
        <w:rPr>
          <w:rStyle w:val="Forte"/>
          <w:rFonts w:ascii="Aptos" w:eastAsiaTheme="majorEastAsia" w:hAnsi="Aptos"/>
          <w:i/>
          <w:iCs/>
          <w:color w:val="000000" w:themeColor="text1"/>
        </w:rPr>
        <w:t>d) Av.17/27.516:</w:t>
      </w:r>
      <w:r w:rsidRPr="009B2FC0">
        <w:rPr>
          <w:rFonts w:ascii="Aptos" w:hAnsi="Aptos"/>
          <w:i/>
          <w:iCs/>
          <w:color w:val="000000" w:themeColor="text1"/>
        </w:rPr>
        <w:t> Indisponibilidade oriunda do processo nº 1000470-13.2016.5.02.0021, em trâmite na 21ª Vara do Trabalho de São Paulo/SP;</w:t>
      </w:r>
    </w:p>
    <w:p w14:paraId="3192255D" w14:textId="77777777" w:rsidR="004A26CE" w:rsidRPr="009B2FC0" w:rsidRDefault="004A26CE" w:rsidP="004A26CE">
      <w:pPr>
        <w:pStyle w:val="citacao"/>
        <w:spacing w:before="0" w:beforeAutospacing="0" w:after="0" w:afterAutospacing="0"/>
        <w:ind w:left="1411"/>
        <w:jc w:val="both"/>
        <w:rPr>
          <w:rFonts w:ascii="Aptos" w:hAnsi="Aptos"/>
          <w:i/>
          <w:iCs/>
          <w:color w:val="000000" w:themeColor="text1"/>
        </w:rPr>
      </w:pPr>
      <w:r w:rsidRPr="009B2FC0">
        <w:rPr>
          <w:rStyle w:val="Forte"/>
          <w:rFonts w:ascii="Aptos" w:eastAsiaTheme="majorEastAsia" w:hAnsi="Aptos"/>
          <w:i/>
          <w:iCs/>
          <w:color w:val="000000" w:themeColor="text1"/>
        </w:rPr>
        <w:t>e) Av.18/27.516:</w:t>
      </w:r>
      <w:r w:rsidRPr="009B2FC0">
        <w:rPr>
          <w:rFonts w:ascii="Aptos" w:hAnsi="Aptos"/>
          <w:i/>
          <w:iCs/>
          <w:color w:val="000000" w:themeColor="text1"/>
        </w:rPr>
        <w:t> Indisponibilidade oriunda do processo nº 0000981-82.2015.5.02.0079, em trâmite na 79ª Vara do Trabalho de São Paulo/SP;</w:t>
      </w:r>
    </w:p>
    <w:p w14:paraId="4EB03933" w14:textId="77777777" w:rsidR="004A26CE" w:rsidRPr="009B2FC0" w:rsidRDefault="004A26CE" w:rsidP="004A26CE">
      <w:pPr>
        <w:pStyle w:val="citacao"/>
        <w:spacing w:before="0" w:beforeAutospacing="0" w:after="0" w:afterAutospacing="0"/>
        <w:ind w:left="1411"/>
        <w:jc w:val="both"/>
        <w:rPr>
          <w:rFonts w:ascii="Aptos" w:hAnsi="Aptos"/>
          <w:i/>
          <w:iCs/>
          <w:color w:val="000000" w:themeColor="text1"/>
        </w:rPr>
      </w:pPr>
      <w:r w:rsidRPr="009B2FC0">
        <w:rPr>
          <w:rStyle w:val="Forte"/>
          <w:rFonts w:ascii="Aptos" w:eastAsiaTheme="majorEastAsia" w:hAnsi="Aptos"/>
          <w:i/>
          <w:iCs/>
          <w:color w:val="000000" w:themeColor="text1"/>
        </w:rPr>
        <w:t>f) Av.19/27.516:</w:t>
      </w:r>
      <w:r w:rsidRPr="009B2FC0">
        <w:rPr>
          <w:rFonts w:ascii="Aptos" w:hAnsi="Aptos"/>
          <w:i/>
          <w:iCs/>
          <w:color w:val="000000" w:themeColor="text1"/>
        </w:rPr>
        <w:t> Indisponibilidade oriunda do processo nº 0130500-51.1996.5.02.0023, em trâmite na 23ª Vara do Trabalho de São Paulo/SP;</w:t>
      </w:r>
    </w:p>
    <w:p w14:paraId="598F4041" w14:textId="77777777" w:rsidR="004A26CE" w:rsidRPr="009B2FC0" w:rsidRDefault="004A26CE" w:rsidP="004A26CE">
      <w:pPr>
        <w:pStyle w:val="citacao"/>
        <w:spacing w:before="0" w:beforeAutospacing="0" w:after="0" w:afterAutospacing="0"/>
        <w:ind w:left="1411"/>
        <w:jc w:val="both"/>
        <w:rPr>
          <w:rFonts w:ascii="Aptos" w:hAnsi="Aptos"/>
          <w:i/>
          <w:iCs/>
          <w:color w:val="000000" w:themeColor="text1"/>
        </w:rPr>
      </w:pPr>
      <w:r w:rsidRPr="009B2FC0">
        <w:rPr>
          <w:rStyle w:val="Forte"/>
          <w:rFonts w:ascii="Aptos" w:eastAsiaTheme="majorEastAsia" w:hAnsi="Aptos"/>
          <w:i/>
          <w:iCs/>
          <w:color w:val="000000" w:themeColor="text1"/>
        </w:rPr>
        <w:t>g) Av.20/27.516:</w:t>
      </w:r>
      <w:r w:rsidRPr="009B2FC0">
        <w:rPr>
          <w:rFonts w:ascii="Aptos" w:hAnsi="Aptos"/>
          <w:i/>
          <w:iCs/>
          <w:color w:val="000000" w:themeColor="text1"/>
        </w:rPr>
        <w:t> Indisponibilidade oriunda do processo nº 0010010-96.2016.5.15.0003, em trâmite na 1ª Vara do Trabalho de Sorocaba/SP;</w:t>
      </w:r>
    </w:p>
    <w:p w14:paraId="67A0D893" w14:textId="77777777" w:rsidR="004A26CE" w:rsidRPr="009B2FC0" w:rsidRDefault="004A26CE" w:rsidP="004A26CE">
      <w:pPr>
        <w:pStyle w:val="citacao"/>
        <w:spacing w:before="0" w:beforeAutospacing="0" w:after="0" w:afterAutospacing="0"/>
        <w:ind w:left="1411"/>
        <w:jc w:val="both"/>
        <w:rPr>
          <w:rFonts w:ascii="Aptos" w:hAnsi="Aptos"/>
          <w:i/>
          <w:iCs/>
          <w:color w:val="000000" w:themeColor="text1"/>
        </w:rPr>
      </w:pPr>
      <w:r w:rsidRPr="009B2FC0">
        <w:rPr>
          <w:rStyle w:val="Forte"/>
          <w:rFonts w:ascii="Aptos" w:eastAsiaTheme="majorEastAsia" w:hAnsi="Aptos"/>
          <w:i/>
          <w:iCs/>
          <w:color w:val="000000" w:themeColor="text1"/>
        </w:rPr>
        <w:t>h) Av.22/27.516:</w:t>
      </w:r>
      <w:r w:rsidRPr="009B2FC0">
        <w:rPr>
          <w:rFonts w:ascii="Aptos" w:hAnsi="Aptos"/>
          <w:i/>
          <w:iCs/>
          <w:color w:val="000000" w:themeColor="text1"/>
        </w:rPr>
        <w:t> Indisponibilidade oriunda do processo nº 0010645-58.2015.5.15.0053, em trâmite na 4ª Vara do Trabalho de Campinas/SP.</w:t>
      </w:r>
    </w:p>
    <w:p w14:paraId="20A16CE0" w14:textId="77777777" w:rsidR="004A26CE" w:rsidRPr="009B2FC0" w:rsidRDefault="004A26CE" w:rsidP="004A26CE">
      <w:pPr>
        <w:pStyle w:val="citacao"/>
        <w:spacing w:before="0" w:beforeAutospacing="0" w:after="0" w:afterAutospacing="0"/>
        <w:ind w:left="1411"/>
        <w:jc w:val="both"/>
        <w:rPr>
          <w:rFonts w:ascii="Aptos" w:hAnsi="Aptos"/>
          <w:i/>
          <w:iCs/>
          <w:color w:val="000000" w:themeColor="text1"/>
        </w:rPr>
      </w:pPr>
      <w:r w:rsidRPr="009B2FC0">
        <w:rPr>
          <w:rFonts w:ascii="Aptos" w:hAnsi="Aptos"/>
          <w:i/>
          <w:iCs/>
          <w:color w:val="000000" w:themeColor="text1"/>
        </w:rPr>
        <w:t> </w:t>
      </w:r>
    </w:p>
    <w:p w14:paraId="6BDA8F4F" w14:textId="77777777" w:rsidR="004A26CE" w:rsidRPr="009B2FC0" w:rsidRDefault="004A26CE" w:rsidP="004A26CE">
      <w:pPr>
        <w:pStyle w:val="citacao"/>
        <w:spacing w:before="0" w:beforeAutospacing="0" w:after="0" w:afterAutospacing="0"/>
        <w:ind w:left="1411"/>
        <w:jc w:val="both"/>
        <w:rPr>
          <w:rFonts w:ascii="Aptos" w:hAnsi="Aptos"/>
          <w:i/>
          <w:iCs/>
          <w:color w:val="000000" w:themeColor="text1"/>
        </w:rPr>
      </w:pPr>
      <w:r w:rsidRPr="009B2FC0">
        <w:rPr>
          <w:rFonts w:ascii="Aptos" w:hAnsi="Aptos"/>
          <w:i/>
          <w:iCs/>
          <w:color w:val="000000" w:themeColor="text1"/>
        </w:rPr>
        <w:t>Tudo conforme </w:t>
      </w:r>
      <w:r w:rsidRPr="009B2FC0">
        <w:rPr>
          <w:rStyle w:val="Forte"/>
          <w:rFonts w:ascii="Aptos" w:eastAsiaTheme="majorEastAsia" w:hAnsi="Aptos"/>
          <w:i/>
          <w:iCs/>
          <w:color w:val="000000" w:themeColor="text1"/>
        </w:rPr>
        <w:t>matrícula nº 27.516</w:t>
      </w:r>
      <w:r w:rsidRPr="009B2FC0">
        <w:rPr>
          <w:rFonts w:ascii="Aptos" w:hAnsi="Aptos"/>
          <w:i/>
          <w:iCs/>
          <w:color w:val="000000" w:themeColor="text1"/>
        </w:rPr>
        <w:t>, do Registro de Imóveis da 1ª Zona de Caxias do Sul/RS.</w:t>
      </w:r>
    </w:p>
    <w:p w14:paraId="3AB8C3E8" w14:textId="77777777" w:rsidR="004A26CE" w:rsidRPr="009B2FC0" w:rsidRDefault="004A26CE" w:rsidP="004A26CE">
      <w:pPr>
        <w:pStyle w:val="citacao"/>
        <w:spacing w:before="0" w:beforeAutospacing="0" w:after="0" w:afterAutospacing="0"/>
        <w:ind w:left="1411"/>
        <w:jc w:val="both"/>
        <w:rPr>
          <w:rFonts w:ascii="Aptos" w:hAnsi="Aptos"/>
          <w:i/>
          <w:iCs/>
          <w:color w:val="000000" w:themeColor="text1"/>
        </w:rPr>
      </w:pPr>
      <w:r w:rsidRPr="009B2FC0">
        <w:rPr>
          <w:rFonts w:ascii="Aptos" w:hAnsi="Aptos"/>
          <w:i/>
          <w:iCs/>
          <w:color w:val="000000" w:themeColor="text1"/>
        </w:rPr>
        <w:t>Avaliação da </w:t>
      </w:r>
      <w:r w:rsidRPr="009B2FC0">
        <w:rPr>
          <w:rFonts w:ascii="Aptos" w:hAnsi="Aptos"/>
          <w:i/>
          <w:iCs/>
          <w:color w:val="000000" w:themeColor="text1"/>
          <w:u w:val="single"/>
        </w:rPr>
        <w:t>fração ideal (52%)</w:t>
      </w:r>
      <w:r w:rsidRPr="009B2FC0">
        <w:rPr>
          <w:rFonts w:ascii="Aptos" w:hAnsi="Aptos"/>
          <w:i/>
          <w:iCs/>
          <w:color w:val="000000" w:themeColor="text1"/>
        </w:rPr>
        <w:t>: R$ 468.000,00 (quatrocentos e sessenta e oito mil reais).</w:t>
      </w:r>
    </w:p>
    <w:p w14:paraId="5D407F02" w14:textId="77777777" w:rsidR="004A26CE" w:rsidRPr="009B2FC0" w:rsidRDefault="004A26CE" w:rsidP="004A26CE">
      <w:pPr>
        <w:pStyle w:val="citacao"/>
        <w:spacing w:before="0" w:beforeAutospacing="0" w:after="0" w:afterAutospacing="0"/>
        <w:ind w:left="1411"/>
        <w:jc w:val="both"/>
        <w:rPr>
          <w:rFonts w:ascii="Aptos" w:hAnsi="Aptos"/>
          <w:i/>
          <w:iCs/>
          <w:color w:val="000000" w:themeColor="text1"/>
        </w:rPr>
      </w:pPr>
      <w:r w:rsidRPr="009B2FC0">
        <w:rPr>
          <w:rFonts w:ascii="Aptos" w:hAnsi="Aptos"/>
          <w:i/>
          <w:iCs/>
          <w:color w:val="000000" w:themeColor="text1"/>
        </w:rPr>
        <w:t xml:space="preserve">Depositário: Alexandre Neves </w:t>
      </w:r>
      <w:proofErr w:type="spellStart"/>
      <w:r w:rsidRPr="009B2FC0">
        <w:rPr>
          <w:rFonts w:ascii="Aptos" w:hAnsi="Aptos"/>
          <w:i/>
          <w:iCs/>
          <w:color w:val="000000" w:themeColor="text1"/>
        </w:rPr>
        <w:t>Atti</w:t>
      </w:r>
      <w:proofErr w:type="spellEnd"/>
      <w:r w:rsidRPr="009B2FC0">
        <w:rPr>
          <w:rFonts w:ascii="Aptos" w:hAnsi="Aptos"/>
          <w:i/>
          <w:iCs/>
          <w:color w:val="000000" w:themeColor="text1"/>
        </w:rPr>
        <w:t xml:space="preserve"> (CPF 699.480.030-04)</w:t>
      </w:r>
    </w:p>
    <w:p w14:paraId="0E5566DE" w14:textId="77777777" w:rsidR="004A26CE" w:rsidRPr="009B2FC0" w:rsidRDefault="004A26CE" w:rsidP="004A26CE">
      <w:pPr>
        <w:pStyle w:val="citacao"/>
        <w:spacing w:before="0" w:beforeAutospacing="0" w:after="0" w:afterAutospacing="0"/>
        <w:ind w:left="1411"/>
        <w:jc w:val="both"/>
        <w:rPr>
          <w:rFonts w:ascii="Aptos" w:hAnsi="Aptos"/>
          <w:i/>
          <w:iCs/>
          <w:color w:val="000000" w:themeColor="text1"/>
        </w:rPr>
      </w:pPr>
      <w:r w:rsidRPr="009B2FC0">
        <w:rPr>
          <w:rFonts w:ascii="Aptos" w:hAnsi="Aptos"/>
          <w:i/>
          <w:iCs/>
          <w:color w:val="000000" w:themeColor="text1"/>
        </w:rPr>
        <w:t> </w:t>
      </w:r>
    </w:p>
    <w:p w14:paraId="7D57FEC7"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DATA, HORA E LOCAL DE REALIZAÇÃO DO LEILÃO:</w:t>
      </w:r>
    </w:p>
    <w:p w14:paraId="33D617F9"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u w:val="single"/>
        </w:rPr>
        <w:t>O leilão ocorrerá exclusivamente por meio eletrônico (</w:t>
      </w:r>
      <w:hyperlink r:id="rId11" w:tgtFrame="_blank" w:history="1">
        <w:r w:rsidRPr="009B2FC0">
          <w:rPr>
            <w:rStyle w:val="Hyperlink"/>
            <w:rFonts w:ascii="Aptos" w:eastAsiaTheme="majorEastAsia" w:hAnsi="Aptos"/>
            <w:b/>
            <w:bCs/>
            <w:color w:val="000000" w:themeColor="text1"/>
          </w:rPr>
          <w:t>www.lunellileiloes.com.br</w:t>
        </w:r>
      </w:hyperlink>
      <w:r w:rsidRPr="009B2FC0">
        <w:rPr>
          <w:rFonts w:ascii="Aptos" w:hAnsi="Aptos"/>
          <w:color w:val="000000" w:themeColor="text1"/>
          <w:u w:val="single"/>
        </w:rPr>
        <w:t>)</w:t>
      </w:r>
      <w:r w:rsidRPr="009B2FC0">
        <w:rPr>
          <w:rFonts w:ascii="Aptos" w:hAnsi="Aptos"/>
          <w:color w:val="000000" w:themeColor="text1"/>
        </w:rPr>
        <w:t>, nas seguintes datas:</w:t>
      </w:r>
    </w:p>
    <w:p w14:paraId="376272B7"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1ª) </w:t>
      </w:r>
      <w:r w:rsidRPr="009B2FC0">
        <w:rPr>
          <w:rStyle w:val="Forte"/>
          <w:rFonts w:ascii="Aptos" w:eastAsiaTheme="majorEastAsia" w:hAnsi="Aptos"/>
          <w:color w:val="000000" w:themeColor="text1"/>
        </w:rPr>
        <w:t>16 de julho de 2026, a partir das 14 horas</w:t>
      </w:r>
      <w:r w:rsidRPr="009B2FC0">
        <w:rPr>
          <w:rFonts w:ascii="Aptos" w:hAnsi="Aptos"/>
          <w:color w:val="000000" w:themeColor="text1"/>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56D7A65A"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lastRenderedPageBreak/>
        <w:t>2ª) </w:t>
      </w:r>
      <w:r w:rsidRPr="009B2FC0">
        <w:rPr>
          <w:rStyle w:val="Forte"/>
          <w:rFonts w:ascii="Aptos" w:eastAsiaTheme="majorEastAsia" w:hAnsi="Aptos"/>
          <w:color w:val="000000" w:themeColor="text1"/>
        </w:rPr>
        <w:t>30 de julho de 2026, a partir das 14 horas</w:t>
      </w:r>
      <w:r w:rsidRPr="009B2FC0">
        <w:rPr>
          <w:rFonts w:ascii="Aptos" w:hAnsi="Aptos"/>
          <w:color w:val="000000" w:themeColor="text1"/>
        </w:rPr>
        <w:t>. Haverá alienação do bem, em segundo leilão, pela melhor oferta, desde que igual ou superior ao valor mínimo previsto neste edital, caso não haja licitante no primeiro leilão.</w:t>
      </w:r>
    </w:p>
    <w:p w14:paraId="2A15BCAA"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1EF383CD"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Os interessados em participar deverão efetuar cadastramento no endereço eletrônico do leiloeiro, 48 horas antes da realização do leilão.</w:t>
      </w:r>
    </w:p>
    <w:p w14:paraId="7F14123B"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DESIGNAÇÃO DO LEILOEIRO:</w:t>
      </w:r>
    </w:p>
    <w:p w14:paraId="400C5B91"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Com base no art. 883 da Lei 13.105/2015, nomeio para o encargo o Leiloeiro </w:t>
      </w:r>
      <w:r w:rsidRPr="009B2FC0">
        <w:rPr>
          <w:rStyle w:val="anonimizar"/>
          <w:rFonts w:ascii="Aptos" w:hAnsi="Aptos"/>
          <w:color w:val="000000" w:themeColor="text1"/>
        </w:rPr>
        <w:t>Leonir Adelino Lunelli</w:t>
      </w:r>
      <w:r w:rsidRPr="009B2FC0">
        <w:rPr>
          <w:rFonts w:ascii="Aptos" w:hAnsi="Aptos"/>
          <w:color w:val="000000" w:themeColor="text1"/>
        </w:rPr>
        <w:t>, matriculado na Junta Comercial/RS sob nº 060/87, com escritório na Av. Humberto de Alencar Castelo Branco, nº 397, Bento Gonçalves - RS, fone/fax - (54) 3452-5591, celular: (54) 9 9974-2534.</w:t>
      </w:r>
    </w:p>
    <w:p w14:paraId="3521A683"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O leiloeiro restará compromissado quando da sua intimação deste despacho, servindo como ALVARÁ.</w:t>
      </w:r>
    </w:p>
    <w:p w14:paraId="66FDCB73"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DILIGÊNCIAS INICIAIS A SEREM REALIZADAS PELO LEILOEIRO:</w:t>
      </w:r>
    </w:p>
    <w:p w14:paraId="3172EF24"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Ao Leiloeiro caberá providenciar extrato dos eventuais débitos vencidos e/ou vincendos garantidos pelo bem e outros subsídios para fins de bem cumprir seu encargo.</w:t>
      </w:r>
    </w:p>
    <w:p w14:paraId="214D154B"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Deverá o leiloeiro verificar a localização e estado dos bens penhorados, para fins do leilão. Constatando, em suas diligências, a inviabilidade de arrematação dos bens penhorados, caberá ao leiloeiro informar nos autos. Da informação, dê-se vista à credora para manifestar-se sobre a eventual desconstituição da penhora e prosseguimento da execução.</w:t>
      </w:r>
    </w:p>
    <w:p w14:paraId="2536903A"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Como parte do seu encargo, caberá ao leiloeiro proceder à devida divulgação do edital, para o sucesso do leilão.</w:t>
      </w:r>
    </w:p>
    <w:p w14:paraId="3947BA77"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REGRAS GERAIS DO LEILÃO:</w:t>
      </w:r>
    </w:p>
    <w:p w14:paraId="0FC94651"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Esta decisão servirá como EDITAL DE LEILÃO a ser publicado, no prazo do § 1º do art. 22 da Lei nº 6.830/80, na rede mundial de computadores, no sítio do TRF/4ª Região.</w:t>
      </w:r>
    </w:p>
    <w:p w14:paraId="379B5829"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5D91E25A"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No caso de penhora de bem ofertado por terceiro, deverá este ser intimado para remir o bem no prazo de 15 dias (art. 19, I, da Lei nº 6.830/80).</w:t>
      </w:r>
    </w:p>
    <w:p w14:paraId="40A57F25"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lastRenderedPageBreak/>
        <w:t>O coproprietário, meeiro ou titular de outro direito sobre o bem (credor hipotecário, credor fiduciário, promitente comprador com contrato registrado na matrícula e demais interessados) também deverão ser intimados do leilão por meio de carta com aviso de recebimento dirigida ao endereço disponível no processo ou constante do sistema informatizado da Justiça Federal (SMWEB), instruída com cópia desta decisão-edital. Caso frustrada a intimação postal, deverão ser intimados por Oficial de Justiça ou Carta Precatória.</w:t>
      </w:r>
    </w:p>
    <w:p w14:paraId="280B903A"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 xml:space="preserve">Considerando-se que a expropriação judicial é forma de aquisição originária da propriedade, os imóveis serão arrematados livres de débitos tributários (que se sub-rogam no preço) ou ônus que eventualmente gravem as respectivas matrículas (hipotecas, penhoras, arrolamento </w:t>
      </w:r>
      <w:proofErr w:type="spellStart"/>
      <w:r w:rsidRPr="009B2FC0">
        <w:rPr>
          <w:rFonts w:ascii="Aptos" w:hAnsi="Aptos"/>
          <w:color w:val="000000" w:themeColor="text1"/>
        </w:rPr>
        <w:t>etc</w:t>
      </w:r>
      <w:proofErr w:type="spellEnd"/>
      <w:r w:rsidRPr="009B2FC0">
        <w:rPr>
          <w:rFonts w:ascii="Aptos" w:hAnsi="Aptos"/>
          <w:color w:val="000000" w:themeColor="text1"/>
        </w:rPr>
        <w:t>), cujo levantamento será providenciado por este Juízo.</w:t>
      </w:r>
    </w:p>
    <w:p w14:paraId="5EA8B61E"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u w:val="single"/>
        </w:rPr>
        <w:t>O leilão será exclusivamente eletrônico.</w:t>
      </w:r>
    </w:p>
    <w:p w14:paraId="095F8DD2"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31D05A80"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Todas as pessoas físicas capazes e jurídicas legalmente constituídas poderão oferecer lance, devendo o leiloeiro observar as restrições dos incisos do art. 890 da Lei 13.105/2015.</w:t>
      </w:r>
    </w:p>
    <w:p w14:paraId="212CB698"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REGRAS ESPECÍFICAS DO LEILÃO DE IMÓVEIS:</w:t>
      </w:r>
    </w:p>
    <w:p w14:paraId="4B65B3BE"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Style w:val="Forte"/>
          <w:rFonts w:ascii="Aptos" w:eastAsiaTheme="majorEastAsia" w:hAnsi="Aptos"/>
          <w:color w:val="000000" w:themeColor="text1"/>
        </w:rPr>
        <w:t xml:space="preserve">No caso em tela, o lance mínimo no leilão dos imóveis, em qualquer das datas será de 75% (setenta e cinco por cento) da avaliação (art. 891 da Lei 13.105/2015), em razão da necessidade de preservação do valor correspondente à meação do cônjuge coproprietário, </w:t>
      </w:r>
      <w:proofErr w:type="spellStart"/>
      <w:r w:rsidRPr="009B2FC0">
        <w:rPr>
          <w:rStyle w:val="Forte"/>
          <w:rFonts w:ascii="Aptos" w:eastAsiaTheme="majorEastAsia" w:hAnsi="Aptos"/>
          <w:color w:val="000000" w:themeColor="text1"/>
        </w:rPr>
        <w:t>Sr</w:t>
      </w:r>
      <w:proofErr w:type="spellEnd"/>
      <w:r w:rsidRPr="009B2FC0">
        <w:rPr>
          <w:rStyle w:val="Forte"/>
          <w:rFonts w:ascii="Aptos" w:eastAsiaTheme="majorEastAsia" w:hAnsi="Aptos"/>
          <w:color w:val="000000" w:themeColor="text1"/>
        </w:rPr>
        <w:t xml:space="preserve"> Cesar Borges Fernandes (CPF 125.137.920-68).</w:t>
      </w:r>
    </w:p>
    <w:p w14:paraId="17AD67A7"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Arbitro a comissão do Leiloeiro em 6% (seis por cento) do valor do lance.</w:t>
      </w:r>
    </w:p>
    <w:p w14:paraId="726E2D29"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Será vencedor o maior lance.</w:t>
      </w:r>
    </w:p>
    <w:p w14:paraId="07C76047"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O arrematante deverá pagar custas de arrematação previstas na Tabela III da Lei 9.289/96, de 0,5% (meio por cento) sobre o valor do bem arrematado.</w:t>
      </w:r>
    </w:p>
    <w:p w14:paraId="06C54A4E"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Para a expedição da carta de arrematação, deverá o arrematante comprovar o pagamento do ITBI, bem como as respectivas custas.</w:t>
      </w:r>
    </w:p>
    <w:p w14:paraId="59C042E3"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A carta de arrematação determinará o cancelamento da penhora realizada por este juízo, bem como de quaisquer outros ônus registrados/averbados na matrícula do imóvel, tais como penhoras, averbações premonitórias, notícias de penhora, indisponibilidade judicial, arrolamento, hipoteca etc.</w:t>
      </w:r>
    </w:p>
    <w:p w14:paraId="3FD2F347"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REGRAS DO PARCELAMENTO DO LANCE QUANTO A IMÓVEIS:</w:t>
      </w:r>
    </w:p>
    <w:p w14:paraId="1ACBCB74"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 xml:space="preserve">O parcelamento do lance obedecerá ao disposto no art. 895 do CPC, sendo facultado, ainda, por se tratar de execução fiscal promovida pela União, o parcelamento nos moldes previstos pela Portaria nº 1.026, de 20 de junho de 2024, da Procuradoria-Geral </w:t>
      </w:r>
      <w:r w:rsidRPr="009B2FC0">
        <w:rPr>
          <w:rFonts w:ascii="Aptos" w:hAnsi="Aptos"/>
          <w:color w:val="000000" w:themeColor="text1"/>
        </w:rPr>
        <w:lastRenderedPageBreak/>
        <w:t>da Fazenda Nacional, observadas as vedações estabelecidas em seu art. 2º, parágrafo único.</w:t>
      </w:r>
    </w:p>
    <w:p w14:paraId="1748E0C2"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Style w:val="Forte"/>
          <w:rFonts w:ascii="Aptos" w:eastAsiaTheme="majorEastAsia" w:hAnsi="Aptos"/>
          <w:color w:val="000000" w:themeColor="text1"/>
        </w:rPr>
        <w:t>Tratando-se de bens imóveis, será admitido pagamento parcelado, caso o valor do lance seja superior a R$ 100.000,00 (cem mil reais),</w:t>
      </w:r>
      <w:r w:rsidRPr="009B2FC0">
        <w:rPr>
          <w:rFonts w:ascii="Aptos" w:hAnsi="Aptos"/>
          <w:color w:val="000000" w:themeColor="text1"/>
        </w:rPr>
        <w:t> limitando-se tal parcelamento ao montante da dívida ativa objeto da execução (art. 4º, § 2º da Portaria da PGFN 1.026/2024).</w:t>
      </w:r>
    </w:p>
    <w:p w14:paraId="61E32E1E"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O parcelamento</w:t>
      </w:r>
      <w:r w:rsidRPr="009B2FC0">
        <w:rPr>
          <w:rStyle w:val="Forte"/>
          <w:rFonts w:ascii="Aptos" w:eastAsiaTheme="majorEastAsia" w:hAnsi="Aptos"/>
          <w:color w:val="000000" w:themeColor="text1"/>
        </w:rPr>
        <w:t> da arrematação de bem cujo valor supere a dívida por ele garantida só será deferido quando o arrematante efetuar o depósito à vista da diferença, no ato da arrematação,</w:t>
      </w:r>
      <w:r w:rsidRPr="009B2FC0">
        <w:rPr>
          <w:rFonts w:ascii="Aptos" w:hAnsi="Aptos"/>
          <w:color w:val="000000" w:themeColor="text1"/>
        </w:rPr>
        <w:t> para levantamento pelo executado (parágrafo único, art. 2º, Portaria da PGFN 1.026/2024).</w:t>
      </w:r>
    </w:p>
    <w:p w14:paraId="636D2537"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O parcelamento observará a quantidade máxima de 60 (sessenta) prestações, sendo a primeira, referente à entrada, no valor de 25% (vinte e cinco por cento) do valor total a ser parcelado (art. 2º, Portaria da PGFN 1.026/2024).</w:t>
      </w:r>
    </w:p>
    <w:p w14:paraId="6D399388"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O parcelamento será considerado deferido no momento da homologação ou assinatura judicial do termo/auto de arrematação (art. 4º). A partir deste momento, o arrematante/adquirente deverá solicitar a formalização do parcelamento por meio de requerimento no REGULARIZE, no sítio da PGFN na Internet, no endereço </w:t>
      </w:r>
      <w:hyperlink r:id="rId12" w:history="1">
        <w:r w:rsidRPr="009B2FC0">
          <w:rPr>
            <w:rStyle w:val="Hyperlink"/>
            <w:rFonts w:ascii="Aptos" w:eastAsiaTheme="majorEastAsia" w:hAnsi="Aptos"/>
            <w:b/>
            <w:bCs/>
            <w:color w:val="000000" w:themeColor="text1"/>
          </w:rPr>
          <w:t>regularize.pgfn.gov.br</w:t>
        </w:r>
      </w:hyperlink>
      <w:r w:rsidRPr="009B2FC0">
        <w:rPr>
          <w:rFonts w:ascii="Aptos" w:hAnsi="Aptos"/>
          <w:color w:val="000000" w:themeColor="text1"/>
        </w:rPr>
        <w:t> (art. 5º), dentro do prazo de 10 (dez) dias contados da assinatura judicial do termo de alienação.</w:t>
      </w:r>
    </w:p>
    <w:p w14:paraId="54DDBF77"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O pagamento das prestações deverá observar o disposto no art. 7º da Portaria da PGFN 1.026/2024. A primeira prestação deverá ser paga no ato da arrematação, através de depósito na Caixa Econômica Federal, em conta judicial sob o código de operação 635, mediante Documento de Depósitos Judiciais e Extrajudiciais - DJE, preenchido com o nome e CPF ou CNPJ do adquirente/arrematante, o número do processo judicial e o Código de Receita n° 439. As demais prestações até a formalização do parcelamento deverão ser depositadas mensalmente na Caixa Econômica Federal, da mesma forma que a parcela de entrada. Após a formalização do parcelamento nos termos do art. 5° da Portaria, o pagamento das prestações deverá ser efetuado </w:t>
      </w:r>
      <w:r w:rsidRPr="009B2FC0">
        <w:rPr>
          <w:rStyle w:val="Forte"/>
          <w:rFonts w:ascii="Aptos" w:eastAsiaTheme="majorEastAsia" w:hAnsi="Aptos"/>
          <w:color w:val="000000" w:themeColor="text1"/>
        </w:rPr>
        <w:t>exclusivamente</w:t>
      </w:r>
      <w:r w:rsidRPr="009B2FC0">
        <w:rPr>
          <w:rFonts w:ascii="Aptos" w:hAnsi="Aptos"/>
          <w:color w:val="000000" w:themeColor="text1"/>
        </w:rPr>
        <w:t> mediante Documento de Arrecadação de Receitas Federais - DARF emitido pelo Sistema de Parcelamentos e outras Negociações - SISPAR da PGFN, disponível no REGULARIZE.</w:t>
      </w:r>
    </w:p>
    <w:p w14:paraId="5A072A32"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Nos termos dos §§ 3º e 6º do artigo 98 da Lei 8.212/91 - a que se reporta a Portaria PGFN nº 1.026/2024 -, o débito do executado será quitado na proporção do valor da arrematação, ficando o controle do parcelamento a cargo do exequente. Se o arrematante não pagar, no vencimento, quaisquer das parcelas mensais, o saldo devedor vencerá antecipadamente e será acrescido em cinquenta por cento de seu valor a título de multa, podendo ser inscrito em dívida ativa e executado de forma autônoma pela Fazenda Nacional.</w:t>
      </w:r>
    </w:p>
    <w:p w14:paraId="5FEAA491"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lastRenderedPageBreak/>
        <w:t>A administração e o controle do parcelamento deverão ser realizados pela unidade da PGFN responsável pela execução fiscal.</w:t>
      </w:r>
    </w:p>
    <w:p w14:paraId="47B837CD"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Após expedida a carta de arrematação para pagamento parcelado, será a mesma levada pelo arrematante ao respectivo Cartório de Registro de Imóveis para averbação da hipoteca em favor da União (art. 8, §1º).</w:t>
      </w:r>
    </w:p>
    <w:p w14:paraId="0141873F"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 </w:t>
      </w:r>
    </w:p>
    <w:p w14:paraId="49EE3236"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VENDA PARTICULAR:</w:t>
      </w:r>
    </w:p>
    <w:p w14:paraId="52090F8B"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Restando negativo o leilão, fica desde já autorizada a venda particular, observando-se as regras gerais e específicas já fixadas, inclusive os preços mínimos, e mais o seguinte:</w:t>
      </w:r>
    </w:p>
    <w:p w14:paraId="40A62934"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a) o prazo para o leiloeiro promover a venda particular será de 60 (sessenta) dias;</w:t>
      </w:r>
    </w:p>
    <w:p w14:paraId="41878456"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b) a venda particular de imóveis poderá ser realizada de forma parcelada, desde que respeitadas as regras específicas antes fixadas para tanto.</w:t>
      </w:r>
    </w:p>
    <w:p w14:paraId="06ECA5EC"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Proceda a Secretaria, na medida do possível, à inclusão de credores com penhora registrada junto à matrícula do imóvel, ou, ainda, com averbação da existência de ação judicial, e que possuam procuradores com cadastro automaticamente vinculado junto ao sistema e-</w:t>
      </w:r>
      <w:proofErr w:type="spellStart"/>
      <w:r w:rsidRPr="009B2FC0">
        <w:rPr>
          <w:rFonts w:ascii="Aptos" w:hAnsi="Aptos"/>
          <w:color w:val="000000" w:themeColor="text1"/>
        </w:rPr>
        <w:t>proc</w:t>
      </w:r>
      <w:proofErr w:type="spellEnd"/>
      <w:r w:rsidRPr="009B2FC0">
        <w:rPr>
          <w:rFonts w:ascii="Aptos" w:hAnsi="Aptos"/>
          <w:color w:val="000000" w:themeColor="text1"/>
        </w:rPr>
        <w:t xml:space="preserve"> como interessados, cientificando-os do presente despacho/edital de leilão, pelo prazo de 05 (cinco) dias.</w:t>
      </w:r>
    </w:p>
    <w:p w14:paraId="3FA5F792"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u w:val="single"/>
        </w:rPr>
        <w:t>Quanto aos demais beneficiários de penhoras ou averbações na matrícula, encaminhe-se cópia do presente despacho-edital, que servirá como ofício, ao Juízo onde se processa a execução, para informar sobre o praceamento do bem.</w:t>
      </w:r>
    </w:p>
    <w:p w14:paraId="5D1775A7"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 xml:space="preserve">Intimem-se, inclusive o leiloeiro, </w:t>
      </w:r>
      <w:proofErr w:type="spellStart"/>
      <w:r w:rsidRPr="009B2FC0">
        <w:rPr>
          <w:rFonts w:ascii="Aptos" w:hAnsi="Aptos"/>
          <w:color w:val="000000" w:themeColor="text1"/>
        </w:rPr>
        <w:t>oportunizando-se-lhe</w:t>
      </w:r>
      <w:proofErr w:type="spellEnd"/>
      <w:r w:rsidRPr="009B2FC0">
        <w:rPr>
          <w:rFonts w:ascii="Aptos" w:hAnsi="Aptos"/>
          <w:color w:val="000000" w:themeColor="text1"/>
        </w:rPr>
        <w:t xml:space="preserve"> vista dos autos.</w:t>
      </w:r>
    </w:p>
    <w:p w14:paraId="68096ACC" w14:textId="77777777" w:rsidR="004A26CE" w:rsidRPr="009B2FC0" w:rsidRDefault="004A26CE" w:rsidP="004A26CE">
      <w:pPr>
        <w:pStyle w:val="paragrafopadrao"/>
        <w:spacing w:before="0" w:beforeAutospacing="0" w:after="0" w:afterAutospacing="0"/>
        <w:ind w:right="29" w:firstLine="1411"/>
        <w:jc w:val="both"/>
        <w:rPr>
          <w:rFonts w:ascii="Aptos" w:hAnsi="Aptos"/>
          <w:color w:val="000000" w:themeColor="text1"/>
        </w:rPr>
      </w:pPr>
      <w:r w:rsidRPr="009B2FC0">
        <w:rPr>
          <w:rFonts w:ascii="Aptos" w:hAnsi="Aptos"/>
          <w:color w:val="000000" w:themeColor="text1"/>
        </w:rPr>
        <w:t>Cumpra-se.</w:t>
      </w:r>
    </w:p>
    <w:p w14:paraId="4C52F9DD" w14:textId="77777777" w:rsidR="004A26CE" w:rsidRPr="009B2FC0" w:rsidRDefault="004A26CE" w:rsidP="004A26CE">
      <w:pPr>
        <w:rPr>
          <w:rFonts w:ascii="Aptos" w:hAnsi="Aptos"/>
          <w:color w:val="000000" w:themeColor="text1"/>
        </w:rPr>
      </w:pPr>
    </w:p>
    <w:p w14:paraId="26486063" w14:textId="77777777" w:rsidR="004A26CE" w:rsidRPr="009B2FC0" w:rsidRDefault="004A26CE" w:rsidP="004A26CE">
      <w:pPr>
        <w:rPr>
          <w:rFonts w:ascii="Aptos" w:hAnsi="Aptos"/>
          <w:color w:val="000000" w:themeColor="text1"/>
        </w:rPr>
      </w:pPr>
      <w:r>
        <w:rPr>
          <w:rFonts w:ascii="Aptos" w:hAnsi="Aptos"/>
          <w:color w:val="000000" w:themeColor="text1"/>
        </w:rPr>
        <w:pict w14:anchorId="7A21A01F">
          <v:rect id="_x0000_i1029" style="width:0;height:1.5pt" o:hralign="center" o:hrstd="t" o:hr="t" fillcolor="#a0a0a0" stroked="f"/>
        </w:pict>
      </w:r>
    </w:p>
    <w:p w14:paraId="41A68C48" w14:textId="77777777" w:rsidR="004A26CE" w:rsidRPr="009B2FC0" w:rsidRDefault="004A26CE" w:rsidP="004A26CE">
      <w:pPr>
        <w:pStyle w:val="tarjaassinatura"/>
        <w:spacing w:before="0" w:beforeAutospacing="0" w:after="0" w:afterAutospacing="0"/>
        <w:jc w:val="both"/>
        <w:rPr>
          <w:rFonts w:ascii="Aptos" w:hAnsi="Aptos"/>
          <w:color w:val="000000" w:themeColor="text1"/>
        </w:rPr>
      </w:pPr>
      <w:r w:rsidRPr="009B2FC0">
        <w:rPr>
          <w:rFonts w:ascii="Aptos" w:hAnsi="Aptos"/>
          <w:color w:val="000000" w:themeColor="text1"/>
        </w:rPr>
        <w:t>Documento eletrônico assinado por </w:t>
      </w:r>
      <w:r w:rsidRPr="009B2FC0">
        <w:rPr>
          <w:rFonts w:ascii="Aptos" w:hAnsi="Aptos"/>
          <w:b/>
          <w:bCs/>
          <w:color w:val="000000" w:themeColor="text1"/>
        </w:rPr>
        <w:t>DIENYFFER BRUM DE MORAES FONTES, Juíza Federal</w:t>
      </w:r>
      <w:r w:rsidRPr="009B2FC0">
        <w:rPr>
          <w:rFonts w:ascii="Aptos" w:hAnsi="Aptos"/>
          <w:color w:val="000000" w:themeColor="text1"/>
        </w:rPr>
        <w:t>, na forma do artigo 1º, inciso III, da Lei 11.419, de 19 de dezembro de 2006 e Resolução TRF 4ª Região nº 17, de 26 de março de 2010. A conferência da </w:t>
      </w:r>
      <w:r w:rsidRPr="009B2FC0">
        <w:rPr>
          <w:rFonts w:ascii="Aptos" w:hAnsi="Aptos"/>
          <w:b/>
          <w:bCs/>
          <w:color w:val="000000" w:themeColor="text1"/>
        </w:rPr>
        <w:t>autenticidade do documento</w:t>
      </w:r>
      <w:r w:rsidRPr="009B2FC0">
        <w:rPr>
          <w:rFonts w:ascii="Aptos" w:hAnsi="Aptos"/>
          <w:color w:val="000000" w:themeColor="text1"/>
        </w:rPr>
        <w:t> está disponível no endereço eletrônico https://verificar.trf4.jus.br, mediante o preenchimento do código verificador </w:t>
      </w:r>
      <w:r w:rsidRPr="009B2FC0">
        <w:rPr>
          <w:rFonts w:ascii="Aptos" w:hAnsi="Aptos"/>
          <w:b/>
          <w:bCs/>
          <w:color w:val="000000" w:themeColor="text1"/>
        </w:rPr>
        <w:t>710025280455v11</w:t>
      </w:r>
      <w:r w:rsidRPr="009B2FC0">
        <w:rPr>
          <w:rFonts w:ascii="Aptos" w:hAnsi="Aptos"/>
          <w:color w:val="000000" w:themeColor="text1"/>
        </w:rPr>
        <w:t> e do código CRC </w:t>
      </w:r>
      <w:r w:rsidRPr="009B2FC0">
        <w:rPr>
          <w:rFonts w:ascii="Aptos" w:hAnsi="Aptos"/>
          <w:b/>
          <w:bCs/>
          <w:color w:val="000000" w:themeColor="text1"/>
        </w:rPr>
        <w:t>97312418</w:t>
      </w:r>
      <w:r w:rsidRPr="009B2FC0">
        <w:rPr>
          <w:rFonts w:ascii="Aptos" w:hAnsi="Aptos"/>
          <w:color w:val="000000" w:themeColor="text1"/>
        </w:rPr>
        <w:t>.</w:t>
      </w:r>
      <w:r w:rsidRPr="009B2FC0">
        <w:rPr>
          <w:rFonts w:ascii="Aptos" w:hAnsi="Aptos"/>
          <w:color w:val="000000" w:themeColor="text1"/>
        </w:rPr>
        <w:br/>
      </w:r>
      <w:r w:rsidRPr="009B2FC0">
        <w:rPr>
          <w:rFonts w:ascii="Aptos" w:hAnsi="Aptos"/>
          <w:color w:val="000000" w:themeColor="text1"/>
        </w:rPr>
        <w:br/>
        <w:t>Informações adicionais da assinatura:</w:t>
      </w:r>
      <w:r w:rsidRPr="009B2FC0">
        <w:rPr>
          <w:rFonts w:ascii="Aptos" w:hAnsi="Aptos"/>
          <w:color w:val="000000" w:themeColor="text1"/>
        </w:rPr>
        <w:br/>
        <w:t>Signatário (a): DIENYFFER BRUM DE MORAES FONTES</w:t>
      </w:r>
      <w:r w:rsidRPr="009B2FC0">
        <w:rPr>
          <w:rFonts w:ascii="Aptos" w:hAnsi="Aptos"/>
          <w:color w:val="000000" w:themeColor="text1"/>
        </w:rPr>
        <w:br/>
        <w:t>Data e Hora: 19/06/2026, às 15:02:25</w:t>
      </w:r>
    </w:p>
    <w:p w14:paraId="2D608996" w14:textId="77777777" w:rsidR="004A26CE" w:rsidRPr="009B2FC0" w:rsidRDefault="004A26CE" w:rsidP="004A26CE">
      <w:pPr>
        <w:rPr>
          <w:rFonts w:ascii="Aptos" w:hAnsi="Aptos"/>
          <w:color w:val="000000" w:themeColor="text1"/>
        </w:rPr>
      </w:pPr>
      <w:r>
        <w:rPr>
          <w:rFonts w:ascii="Aptos" w:hAnsi="Aptos"/>
          <w:color w:val="000000" w:themeColor="text1"/>
        </w:rPr>
        <w:pict w14:anchorId="7708C529">
          <v:rect id="_x0000_i1030" style="width:0;height:1.5pt" o:hralign="center" o:hrstd="t" o:hr="t" fillcolor="#a0a0a0" stroked="f"/>
        </w:pict>
      </w:r>
    </w:p>
    <w:p w14:paraId="6B8B1AC1" w14:textId="77777777" w:rsidR="004A26CE" w:rsidRPr="009B2FC0" w:rsidRDefault="004A26CE" w:rsidP="004A26CE">
      <w:pPr>
        <w:rPr>
          <w:rFonts w:ascii="Aptos" w:hAnsi="Aptos"/>
          <w:b/>
          <w:bCs/>
          <w:color w:val="000000" w:themeColor="text1"/>
        </w:rPr>
      </w:pPr>
      <w:r w:rsidRPr="009B2FC0">
        <w:rPr>
          <w:rFonts w:ascii="Aptos" w:hAnsi="Aptos"/>
          <w:b/>
          <w:bCs/>
          <w:color w:val="000000" w:themeColor="text1"/>
        </w:rPr>
        <w:lastRenderedPageBreak/>
        <w:t>5011614-64.2012.4.04.7107</w:t>
      </w:r>
    </w:p>
    <w:p w14:paraId="528E4118" w14:textId="77777777" w:rsidR="004A26CE" w:rsidRDefault="004A26CE" w:rsidP="004A26CE"/>
    <w:p w14:paraId="01603BA4" w14:textId="77777777" w:rsidR="00AF3DED" w:rsidRPr="004A26CE" w:rsidRDefault="00AF3DED" w:rsidP="004A26CE"/>
    <w:sectPr w:rsidR="00AF3DED" w:rsidRPr="004A26CE" w:rsidSect="000854A9">
      <w:headerReference w:type="default" r:id="rId13"/>
      <w:footerReference w:type="default" r:id="rId14"/>
      <w:pgSz w:w="12185" w:h="17861" w:code="345"/>
      <w:pgMar w:top="2835" w:right="1134" w:bottom="340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E738" w14:textId="77777777" w:rsidR="00171E34" w:rsidRDefault="00171E34" w:rsidP="005B1AEE">
      <w:pPr>
        <w:spacing w:after="0" w:line="240" w:lineRule="auto"/>
      </w:pPr>
      <w:r>
        <w:separator/>
      </w:r>
    </w:p>
  </w:endnote>
  <w:endnote w:type="continuationSeparator" w:id="0">
    <w:p w14:paraId="0C5E9F70" w14:textId="77777777" w:rsidR="00171E34" w:rsidRDefault="00171E34" w:rsidP="005B1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60DC" w14:textId="2CA3B7C1" w:rsidR="005B1AEE" w:rsidRPr="00437F06" w:rsidRDefault="008329F9" w:rsidP="00B861E9">
    <w:pPr>
      <w:pStyle w:val="Rodap"/>
      <w:ind w:hanging="1134"/>
      <w:jc w:val="both"/>
      <w:rPr>
        <w:color w:val="0070C0"/>
        <w:sz w:val="16"/>
        <w:szCs w:val="16"/>
      </w:rPr>
    </w:pPr>
    <w:r w:rsidRPr="00437F06">
      <w:rPr>
        <w:noProof/>
        <w:color w:val="0070C0"/>
      </w:rPr>
      <w:drawing>
        <wp:anchor distT="0" distB="0" distL="114300" distR="114300" simplePos="0" relativeHeight="251656192" behindDoc="0" locked="0" layoutInCell="1" allowOverlap="1" wp14:anchorId="7ABA06F5" wp14:editId="7DDA1B3C">
          <wp:simplePos x="0" y="0"/>
          <wp:positionH relativeFrom="page">
            <wp:posOffset>5775325</wp:posOffset>
          </wp:positionH>
          <wp:positionV relativeFrom="paragraph">
            <wp:posOffset>-312420</wp:posOffset>
          </wp:positionV>
          <wp:extent cx="1762125" cy="1762125"/>
          <wp:effectExtent l="0" t="0" r="9525" b="9525"/>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1AEE" w:rsidRPr="00437F06">
      <w:rPr>
        <w:color w:val="0070C0"/>
        <w:sz w:val="16"/>
        <w:szCs w:val="16"/>
      </w:rPr>
      <w:t>ESCRITÓRIO</w:t>
    </w:r>
  </w:p>
  <w:p w14:paraId="50996D63" w14:textId="6EDA2699" w:rsidR="005B1AEE" w:rsidRPr="00B861E9" w:rsidRDefault="005B1AEE" w:rsidP="00B861E9">
    <w:pPr>
      <w:pStyle w:val="Rodap"/>
      <w:ind w:hanging="1134"/>
      <w:jc w:val="both"/>
      <w:rPr>
        <w:sz w:val="16"/>
        <w:szCs w:val="16"/>
      </w:rPr>
    </w:pPr>
    <w:r w:rsidRPr="00B861E9">
      <w:rPr>
        <w:sz w:val="16"/>
        <w:szCs w:val="16"/>
      </w:rPr>
      <w:t>Av. Humberto de Alencar castelo Branco | Sala 02</w:t>
    </w:r>
  </w:p>
  <w:p w14:paraId="16A333BF" w14:textId="6AAC8EF1" w:rsidR="005B1AEE" w:rsidRPr="00B861E9" w:rsidRDefault="005B1AEE" w:rsidP="00B861E9">
    <w:pPr>
      <w:pStyle w:val="Rodap"/>
      <w:ind w:hanging="1134"/>
      <w:jc w:val="both"/>
      <w:rPr>
        <w:sz w:val="16"/>
        <w:szCs w:val="16"/>
      </w:rPr>
    </w:pPr>
    <w:r w:rsidRPr="00B861E9">
      <w:rPr>
        <w:sz w:val="16"/>
        <w:szCs w:val="16"/>
      </w:rPr>
      <w:t>Cep 95705-880 | Bairro Licorsul | Bento Gonçalves | RS</w:t>
    </w:r>
  </w:p>
  <w:p w14:paraId="12756C9F" w14:textId="43AB8B90" w:rsidR="005B1AEE" w:rsidRPr="00B861E9" w:rsidRDefault="005B1AEE" w:rsidP="00B861E9">
    <w:pPr>
      <w:pStyle w:val="Rodap"/>
      <w:ind w:hanging="1134"/>
      <w:jc w:val="both"/>
      <w:rPr>
        <w:sz w:val="16"/>
        <w:szCs w:val="16"/>
      </w:rPr>
    </w:pPr>
    <w:r w:rsidRPr="00B861E9">
      <w:rPr>
        <w:sz w:val="16"/>
        <w:szCs w:val="16"/>
      </w:rPr>
      <w:t xml:space="preserve">Cel. (54) 99987.8966 | E-mail: </w:t>
    </w:r>
    <w:hyperlink r:id="rId2" w:history="1">
      <w:r w:rsidRPr="00B861E9">
        <w:rPr>
          <w:rStyle w:val="Hyperlink"/>
          <w:color w:val="auto"/>
          <w:sz w:val="16"/>
          <w:szCs w:val="16"/>
        </w:rPr>
        <w:t>lunellibg@hotmail.com</w:t>
      </w:r>
    </w:hyperlink>
  </w:p>
  <w:p w14:paraId="6C94E0E0" w14:textId="1ACE350E" w:rsidR="005B1AEE" w:rsidRPr="00B861E9" w:rsidRDefault="005B1AEE" w:rsidP="00B861E9">
    <w:pPr>
      <w:pStyle w:val="Rodap"/>
      <w:ind w:hanging="1134"/>
      <w:jc w:val="both"/>
      <w:rPr>
        <w:color w:val="0A69DC"/>
        <w:sz w:val="16"/>
        <w:szCs w:val="16"/>
      </w:rPr>
    </w:pPr>
  </w:p>
  <w:p w14:paraId="46CE2B4A" w14:textId="124ABE0A" w:rsidR="005B1AEE" w:rsidRPr="00437F06" w:rsidRDefault="005B1AEE" w:rsidP="00B861E9">
    <w:pPr>
      <w:pStyle w:val="Rodap"/>
      <w:ind w:hanging="1134"/>
      <w:jc w:val="both"/>
      <w:rPr>
        <w:color w:val="0070C0"/>
        <w:sz w:val="16"/>
        <w:szCs w:val="16"/>
      </w:rPr>
    </w:pPr>
    <w:r w:rsidRPr="00437F06">
      <w:rPr>
        <w:color w:val="0070C0"/>
        <w:sz w:val="16"/>
        <w:szCs w:val="16"/>
      </w:rPr>
      <w:t>DEPÓSITO JUDICIAIS</w:t>
    </w:r>
  </w:p>
  <w:p w14:paraId="7F63CEAC" w14:textId="2A893C01" w:rsidR="005B1AEE" w:rsidRPr="00B861E9" w:rsidRDefault="005B1AEE" w:rsidP="00B861E9">
    <w:pPr>
      <w:pStyle w:val="Rodap"/>
      <w:ind w:hanging="1134"/>
      <w:jc w:val="both"/>
      <w:rPr>
        <w:sz w:val="16"/>
        <w:szCs w:val="16"/>
      </w:rPr>
    </w:pPr>
    <w:r w:rsidRPr="00B861E9">
      <w:rPr>
        <w:b/>
        <w:bCs/>
        <w:sz w:val="16"/>
        <w:szCs w:val="16"/>
      </w:rPr>
      <w:t>Bento Gonçalves:</w:t>
    </w:r>
    <w:r w:rsidRPr="00B861E9">
      <w:rPr>
        <w:sz w:val="16"/>
        <w:szCs w:val="16"/>
      </w:rPr>
      <w:t xml:space="preserve"> Travessa Mário Piva, 130 |</w:t>
    </w:r>
    <w:r w:rsidR="00B861E9">
      <w:rPr>
        <w:sz w:val="16"/>
        <w:szCs w:val="16"/>
      </w:rPr>
      <w:t xml:space="preserve"> </w:t>
    </w:r>
    <w:r w:rsidRPr="00B861E9">
      <w:rPr>
        <w:sz w:val="16"/>
        <w:szCs w:val="16"/>
      </w:rPr>
      <w:t>Bairro Licorsul</w:t>
    </w:r>
  </w:p>
  <w:p w14:paraId="31EF6A56" w14:textId="5046CF55" w:rsidR="005B1AEE" w:rsidRPr="00B861E9" w:rsidRDefault="005B1AEE" w:rsidP="00B861E9">
    <w:pPr>
      <w:pStyle w:val="Rodap"/>
      <w:ind w:hanging="1134"/>
      <w:jc w:val="both"/>
      <w:rPr>
        <w:sz w:val="16"/>
        <w:szCs w:val="16"/>
      </w:rPr>
    </w:pPr>
    <w:r w:rsidRPr="00B861E9">
      <w:rPr>
        <w:b/>
        <w:bCs/>
        <w:sz w:val="16"/>
        <w:szCs w:val="16"/>
      </w:rPr>
      <w:t>Farroupilha:</w:t>
    </w:r>
    <w:r w:rsidRPr="00B861E9">
      <w:rPr>
        <w:sz w:val="16"/>
        <w:szCs w:val="16"/>
      </w:rPr>
      <w:t xml:space="preserve"> Rua Mal. Deodoro da Fonseca, 804 | Bairro do Parque</w:t>
    </w:r>
  </w:p>
  <w:p w14:paraId="00489C54" w14:textId="23F66C7D" w:rsidR="005B1AEE" w:rsidRPr="00B861E9" w:rsidRDefault="005B1AEE" w:rsidP="00B861E9">
    <w:pPr>
      <w:pStyle w:val="Rodap"/>
      <w:ind w:hanging="1134"/>
      <w:jc w:val="both"/>
      <w:rPr>
        <w:sz w:val="16"/>
        <w:szCs w:val="16"/>
      </w:rPr>
    </w:pPr>
  </w:p>
  <w:p w14:paraId="2CCC640D" w14:textId="3BDE1F42" w:rsidR="005B1AEE" w:rsidRPr="00437F06" w:rsidRDefault="005B1AEE" w:rsidP="00B861E9">
    <w:pPr>
      <w:pStyle w:val="Rodap"/>
      <w:ind w:hanging="1134"/>
      <w:jc w:val="both"/>
      <w:rPr>
        <w:color w:val="0070C0"/>
        <w:sz w:val="22"/>
        <w:szCs w:val="22"/>
      </w:rPr>
    </w:pPr>
    <w:r w:rsidRPr="00437F06">
      <w:rPr>
        <w:color w:val="0070C0"/>
        <w:sz w:val="22"/>
        <w:szCs w:val="22"/>
      </w:rPr>
      <w:t>www.lunellileiloes.com.br</w:t>
    </w:r>
    <w:r w:rsidR="00B861E9" w:rsidRPr="00437F06">
      <w:rPr>
        <w:color w:val="0070C0"/>
      </w:rPr>
      <w:t xml:space="preserve"> </w:t>
    </w:r>
  </w:p>
  <w:p w14:paraId="2EEBD488" w14:textId="6DCFAC48" w:rsidR="005B1AEE" w:rsidRDefault="00AB2B56">
    <w:pPr>
      <w:pStyle w:val="Rodap"/>
    </w:pPr>
    <w:r w:rsidRPr="008329F9">
      <w:rPr>
        <w:noProof/>
        <w:color w:val="0A69DC"/>
      </w:rPr>
      <mc:AlternateContent>
        <mc:Choice Requires="wps">
          <w:drawing>
            <wp:anchor distT="0" distB="0" distL="114300" distR="114300" simplePos="0" relativeHeight="251660288" behindDoc="0" locked="0" layoutInCell="1" allowOverlap="1" wp14:anchorId="76240DD6" wp14:editId="53112FA8">
              <wp:simplePos x="0" y="0"/>
              <wp:positionH relativeFrom="margin">
                <wp:align>center</wp:align>
              </wp:positionH>
              <wp:positionV relativeFrom="paragraph">
                <wp:posOffset>334010</wp:posOffset>
              </wp:positionV>
              <wp:extent cx="14335125" cy="2847975"/>
              <wp:effectExtent l="0" t="0" r="28575" b="28575"/>
              <wp:wrapNone/>
              <wp:docPr id="4" name="Retângulo 4"/>
              <wp:cNvGraphicFramePr/>
              <a:graphic xmlns:a="http://schemas.openxmlformats.org/drawingml/2006/main">
                <a:graphicData uri="http://schemas.microsoft.com/office/word/2010/wordprocessingShape">
                  <wps:wsp>
                    <wps:cNvSpPr/>
                    <wps:spPr>
                      <a:xfrm>
                        <a:off x="0" y="0"/>
                        <a:ext cx="14335125" cy="2847975"/>
                      </a:xfrm>
                      <a:prstGeom prst="rect">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4C8B1" id="Retângulo 4" o:spid="_x0000_s1026" style="position:absolute;margin-left:0;margin-top:26.3pt;width:1128.75pt;height:224.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DwkdwIAAEkFAAAOAAAAZHJzL2Uyb0RvYy54bWysVEtv2zAMvg/YfxB0X22nydIGdYogRYcB&#10;RVesHXpWZCk2IIsapbz260fJjhN0xQ7DLjJpkh8f+qib231r2Fahb8CWvLjIOVNWQtXYdcl/vNx/&#10;uuLMB2ErYcCqkh+U57fzjx9udm6mRlCDqRQyArF+tnMlr0Nwsyzzslat8BfglCWjBmxFIBXXWYVi&#10;R+ityUZ5/jnbAVYOQSrv6e9dZ+TzhK+1kuGb1l4FZkpOtYV0YjpX8czmN2K2RuHqRvZliH+oohWN&#10;paQD1J0Igm2w+QOqbSSCBx0uJLQZaN1IlXqgbor8TTfPtXAq9ULD8W4Yk/9/sPJx++yekMawc37m&#10;SYxd7DW28Uv1sX0a1mEYltoHJulnMb68nBSjCWeSjKOr8fR6OonzzE7xDn34oqBlUSg50nWkKYnt&#10;gw+d69ElpvNgmuq+MSYpuF4tDbKtiFeXT/Nlui1CP3PLTlUnKRyMisHGfleaNRXVOUoZE6HUgCek&#10;VDYUnakWlerSFJM8H7JECsaI1FECjMiayhuwe4CjZwdyxO766/1jqEp8HILzvxXWBQ8RKTPYMAS3&#10;jQV8D8BQV33mzp/KPxtNFFdQHZ6QIXTb4J28b+h+HoQPTwKJ/rQotNLhGx3awK7k0Euc1YC/3vsf&#10;/YmVZOVsR+tUcv9zI1BxZr5a4ut1MR7H/UvKeDIdkYLnltW5xW7aJdC1F/R4OJnE6B/MUdQI7Stt&#10;/iJmJZOwknKXXAY8KsvQrTm9HVItFsmNds6J8GCfnYzgcaqRfy/7V4GuJ2kggj/CcfXE7A1XO98Y&#10;aWGxCaCbROTTXPt5074m4vRvS3wQzvXkdXoB578BAAD//wMAUEsDBBQABgAIAAAAIQAYjoql3QAA&#10;AAgBAAAPAAAAZHJzL2Rvd25yZXYueG1sTI9BT4NAEIXvJv6HzZh4swskUIMsjWnjwaOlSeNtgZGl&#10;ZWeR3Rb67x1PenzzJu99r9gsdhBXnHzvSEG8ikAgNa7tqVNwqN6enkH4oKnVgyNUcEMPm/L+rtB5&#10;62b6wOs+dIJDyOdagQlhzKX0jUGr/cqNSOx9ucnqwHLqZDvpmcPtIJMoyqTVPXGD0SNuDTbn/cUq&#10;+KTGmEzOu+3tcKzW73XlvncnpR4fltcXEAGX8PcMv/iMDiUz1e5CrReDAh4SFKRJBoLdJEnXKYia&#10;L1EcgywL+X9A+QMAAP//AwBQSwECLQAUAAYACAAAACEAtoM4kv4AAADhAQAAEwAAAAAAAAAAAAAA&#10;AAAAAAAAW0NvbnRlbnRfVHlwZXNdLnhtbFBLAQItABQABgAIAAAAIQA4/SH/1gAAAJQBAAALAAAA&#10;AAAAAAAAAAAAAC8BAABfcmVscy8ucmVsc1BLAQItABQABgAIAAAAIQB5vDwkdwIAAEkFAAAOAAAA&#10;AAAAAAAAAAAAAC4CAABkcnMvZTJvRG9jLnhtbFBLAQItABQABgAIAAAAIQAYjoql3QAAAAgBAAAP&#10;AAAAAAAAAAAAAAAAANEEAABkcnMvZG93bnJldi54bWxQSwUGAAAAAAQABADzAAAA2wUAAAAA&#10;" fillcolor="#0070c0" strokecolor="#030e13 [484]"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4144" w14:textId="77777777" w:rsidR="00171E34" w:rsidRDefault="00171E34" w:rsidP="005B1AEE">
      <w:pPr>
        <w:spacing w:after="0" w:line="240" w:lineRule="auto"/>
      </w:pPr>
      <w:r>
        <w:separator/>
      </w:r>
    </w:p>
  </w:footnote>
  <w:footnote w:type="continuationSeparator" w:id="0">
    <w:p w14:paraId="7C27F3F0" w14:textId="77777777" w:rsidR="00171E34" w:rsidRDefault="00171E34" w:rsidP="005B1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DE63" w14:textId="72FE291E" w:rsidR="00174ED1" w:rsidRPr="00174ED1" w:rsidRDefault="00784673" w:rsidP="00174ED1">
    <w:pPr>
      <w:pStyle w:val="Cabealho"/>
      <w:ind w:left="-1560"/>
    </w:pPr>
    <w:r w:rsidRPr="005B1AEE">
      <w:rPr>
        <w:noProof/>
      </w:rPr>
      <w:drawing>
        <wp:anchor distT="0" distB="0" distL="114300" distR="114300" simplePos="0" relativeHeight="251658240" behindDoc="0" locked="0" layoutInCell="1" allowOverlap="1" wp14:anchorId="5666C870" wp14:editId="60DCE275">
          <wp:simplePos x="0" y="0"/>
          <wp:positionH relativeFrom="column">
            <wp:posOffset>-1003935</wp:posOffset>
          </wp:positionH>
          <wp:positionV relativeFrom="paragraph">
            <wp:posOffset>-206375</wp:posOffset>
          </wp:positionV>
          <wp:extent cx="2857500" cy="1485900"/>
          <wp:effectExtent l="0" t="0" r="0" b="0"/>
          <wp:wrapSquare wrapText="bothSides"/>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246713" w14:textId="2E7FAC35" w:rsidR="005B1AEE" w:rsidRPr="005B1AEE" w:rsidRDefault="005B1AEE" w:rsidP="005B1AEE">
    <w:pPr>
      <w:pStyle w:val="Cabealho"/>
      <w:ind w:left="-1560"/>
    </w:pPr>
  </w:p>
  <w:p w14:paraId="58224794" w14:textId="706BDE03" w:rsidR="005B1AEE" w:rsidRDefault="005B1A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13F"/>
    <w:multiLevelType w:val="hybridMultilevel"/>
    <w:tmpl w:val="257C77A0"/>
    <w:lvl w:ilvl="0" w:tplc="FFFFFFFF">
      <w:start w:val="1"/>
      <w:numFmt w:val="decimal"/>
      <w:lvlText w:val="%1)"/>
      <w:lvlJc w:val="left"/>
      <w:pPr>
        <w:ind w:left="2988" w:hanging="360"/>
      </w:p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1" w15:restartNumberingAfterBreak="0">
    <w:nsid w:val="15CC6D2C"/>
    <w:multiLevelType w:val="hybridMultilevel"/>
    <w:tmpl w:val="E2EC044E"/>
    <w:lvl w:ilvl="0" w:tplc="04160017">
      <w:start w:val="1"/>
      <w:numFmt w:val="lowerLetter"/>
      <w:lvlText w:val="%1)"/>
      <w:lvlJc w:val="left"/>
      <w:pPr>
        <w:ind w:left="2628" w:hanging="360"/>
      </w:p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15:restartNumberingAfterBreak="0">
    <w:nsid w:val="23C202A0"/>
    <w:multiLevelType w:val="hybridMultilevel"/>
    <w:tmpl w:val="E446DD86"/>
    <w:lvl w:ilvl="0" w:tplc="04160017">
      <w:start w:val="1"/>
      <w:numFmt w:val="lowerLetter"/>
      <w:lvlText w:val="%1)"/>
      <w:lvlJc w:val="left"/>
      <w:pPr>
        <w:ind w:left="2628" w:hanging="360"/>
      </w:p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15:restartNumberingAfterBreak="0">
    <w:nsid w:val="3C38650E"/>
    <w:multiLevelType w:val="hybridMultilevel"/>
    <w:tmpl w:val="0C8A6B1C"/>
    <w:lvl w:ilvl="0" w:tplc="0416000F">
      <w:start w:val="1"/>
      <w:numFmt w:val="decimal"/>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 w15:restartNumberingAfterBreak="0">
    <w:nsid w:val="4F7A5347"/>
    <w:multiLevelType w:val="hybridMultilevel"/>
    <w:tmpl w:val="155E08FA"/>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6C7813C1"/>
    <w:multiLevelType w:val="hybridMultilevel"/>
    <w:tmpl w:val="090A15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2EE5284"/>
    <w:multiLevelType w:val="hybridMultilevel"/>
    <w:tmpl w:val="93BC2332"/>
    <w:lvl w:ilvl="0" w:tplc="04160011">
      <w:start w:val="1"/>
      <w:numFmt w:val="decimal"/>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7" w15:restartNumberingAfterBreak="0">
    <w:nsid w:val="7A2B278E"/>
    <w:multiLevelType w:val="hybridMultilevel"/>
    <w:tmpl w:val="3D60F88A"/>
    <w:lvl w:ilvl="0" w:tplc="8D2EBD5C">
      <w:start w:val="1"/>
      <w:numFmt w:val="decimal"/>
      <w:lvlText w:val="%1)"/>
      <w:lvlJc w:val="left"/>
      <w:pPr>
        <w:ind w:left="2912" w:hanging="360"/>
      </w:pPr>
      <w:rPr>
        <w:b/>
        <w:bCs/>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num w:numId="1" w16cid:durableId="900362824">
    <w:abstractNumId w:val="7"/>
  </w:num>
  <w:num w:numId="2" w16cid:durableId="454907974">
    <w:abstractNumId w:val="3"/>
  </w:num>
  <w:num w:numId="3" w16cid:durableId="960573136">
    <w:abstractNumId w:val="1"/>
  </w:num>
  <w:num w:numId="4" w16cid:durableId="1691102349">
    <w:abstractNumId w:val="4"/>
  </w:num>
  <w:num w:numId="5" w16cid:durableId="1509828062">
    <w:abstractNumId w:val="5"/>
  </w:num>
  <w:num w:numId="6" w16cid:durableId="1345939039">
    <w:abstractNumId w:val="0"/>
  </w:num>
  <w:num w:numId="7" w16cid:durableId="572088182">
    <w:abstractNumId w:val="6"/>
  </w:num>
  <w:num w:numId="8" w16cid:durableId="1822693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EE"/>
    <w:rsid w:val="000073EF"/>
    <w:rsid w:val="00007E1E"/>
    <w:rsid w:val="00007FE4"/>
    <w:rsid w:val="00023722"/>
    <w:rsid w:val="0003575F"/>
    <w:rsid w:val="00037A44"/>
    <w:rsid w:val="000536EE"/>
    <w:rsid w:val="00055110"/>
    <w:rsid w:val="00062E9F"/>
    <w:rsid w:val="00084DEB"/>
    <w:rsid w:val="000854A9"/>
    <w:rsid w:val="00085751"/>
    <w:rsid w:val="00092AD3"/>
    <w:rsid w:val="00095D76"/>
    <w:rsid w:val="000A20B6"/>
    <w:rsid w:val="000A4DE5"/>
    <w:rsid w:val="000B305E"/>
    <w:rsid w:val="000E1B2D"/>
    <w:rsid w:val="000F4BF3"/>
    <w:rsid w:val="000F6C4E"/>
    <w:rsid w:val="00101CFB"/>
    <w:rsid w:val="001161B2"/>
    <w:rsid w:val="0012558F"/>
    <w:rsid w:val="00146D09"/>
    <w:rsid w:val="00165AB2"/>
    <w:rsid w:val="00167822"/>
    <w:rsid w:val="00171E34"/>
    <w:rsid w:val="00174ED1"/>
    <w:rsid w:val="0018420B"/>
    <w:rsid w:val="001843E5"/>
    <w:rsid w:val="00184CB8"/>
    <w:rsid w:val="001855F8"/>
    <w:rsid w:val="001A4BDD"/>
    <w:rsid w:val="001A5A25"/>
    <w:rsid w:val="001C470C"/>
    <w:rsid w:val="001C65FA"/>
    <w:rsid w:val="00200545"/>
    <w:rsid w:val="00213EE5"/>
    <w:rsid w:val="00223F69"/>
    <w:rsid w:val="00241F10"/>
    <w:rsid w:val="002446C1"/>
    <w:rsid w:val="00266EA4"/>
    <w:rsid w:val="0028245F"/>
    <w:rsid w:val="00283119"/>
    <w:rsid w:val="00285608"/>
    <w:rsid w:val="00287A21"/>
    <w:rsid w:val="00291999"/>
    <w:rsid w:val="0029608F"/>
    <w:rsid w:val="002C3C65"/>
    <w:rsid w:val="002C7D72"/>
    <w:rsid w:val="002F5CF0"/>
    <w:rsid w:val="00302BAD"/>
    <w:rsid w:val="003132C5"/>
    <w:rsid w:val="00327D1C"/>
    <w:rsid w:val="003528CC"/>
    <w:rsid w:val="00361708"/>
    <w:rsid w:val="00363672"/>
    <w:rsid w:val="00380FF6"/>
    <w:rsid w:val="003E0EB2"/>
    <w:rsid w:val="003F0829"/>
    <w:rsid w:val="003F78F8"/>
    <w:rsid w:val="00403CFB"/>
    <w:rsid w:val="00415191"/>
    <w:rsid w:val="0042604E"/>
    <w:rsid w:val="00437F06"/>
    <w:rsid w:val="00445F67"/>
    <w:rsid w:val="00472996"/>
    <w:rsid w:val="00474F8C"/>
    <w:rsid w:val="00484CB2"/>
    <w:rsid w:val="00487230"/>
    <w:rsid w:val="00494459"/>
    <w:rsid w:val="004A26CE"/>
    <w:rsid w:val="004A2704"/>
    <w:rsid w:val="004B0636"/>
    <w:rsid w:val="004C7EAF"/>
    <w:rsid w:val="004E0973"/>
    <w:rsid w:val="004F4BF1"/>
    <w:rsid w:val="00500BC6"/>
    <w:rsid w:val="005103AC"/>
    <w:rsid w:val="00514F3C"/>
    <w:rsid w:val="0053375F"/>
    <w:rsid w:val="00550287"/>
    <w:rsid w:val="00560403"/>
    <w:rsid w:val="00562A13"/>
    <w:rsid w:val="0057282B"/>
    <w:rsid w:val="00574E7A"/>
    <w:rsid w:val="00586C4A"/>
    <w:rsid w:val="005A0D88"/>
    <w:rsid w:val="005A305B"/>
    <w:rsid w:val="005B1AEE"/>
    <w:rsid w:val="005B34A9"/>
    <w:rsid w:val="005B36FF"/>
    <w:rsid w:val="005B40CD"/>
    <w:rsid w:val="005E6247"/>
    <w:rsid w:val="00611E0B"/>
    <w:rsid w:val="0061608A"/>
    <w:rsid w:val="00621A89"/>
    <w:rsid w:val="00667885"/>
    <w:rsid w:val="00670B00"/>
    <w:rsid w:val="00690A0B"/>
    <w:rsid w:val="006A57C0"/>
    <w:rsid w:val="006D3348"/>
    <w:rsid w:val="006D5E0F"/>
    <w:rsid w:val="006E1A86"/>
    <w:rsid w:val="006E1B57"/>
    <w:rsid w:val="006E539E"/>
    <w:rsid w:val="00701FFB"/>
    <w:rsid w:val="0070389B"/>
    <w:rsid w:val="00705006"/>
    <w:rsid w:val="0070680B"/>
    <w:rsid w:val="00714BE5"/>
    <w:rsid w:val="00721DA0"/>
    <w:rsid w:val="007236F2"/>
    <w:rsid w:val="00726C27"/>
    <w:rsid w:val="007372CC"/>
    <w:rsid w:val="00752C22"/>
    <w:rsid w:val="00757CC4"/>
    <w:rsid w:val="0076186E"/>
    <w:rsid w:val="00764C09"/>
    <w:rsid w:val="00765658"/>
    <w:rsid w:val="007716A0"/>
    <w:rsid w:val="00771C4B"/>
    <w:rsid w:val="007744F1"/>
    <w:rsid w:val="00776418"/>
    <w:rsid w:val="00784673"/>
    <w:rsid w:val="007A0686"/>
    <w:rsid w:val="007A738A"/>
    <w:rsid w:val="007B1457"/>
    <w:rsid w:val="007B50BC"/>
    <w:rsid w:val="007C5BE6"/>
    <w:rsid w:val="007D7EE2"/>
    <w:rsid w:val="007F1558"/>
    <w:rsid w:val="007F3E3A"/>
    <w:rsid w:val="007F7D84"/>
    <w:rsid w:val="008156DA"/>
    <w:rsid w:val="008326FA"/>
    <w:rsid w:val="008329F9"/>
    <w:rsid w:val="00832D4F"/>
    <w:rsid w:val="00837C60"/>
    <w:rsid w:val="00846DA4"/>
    <w:rsid w:val="00861587"/>
    <w:rsid w:val="008647A5"/>
    <w:rsid w:val="00896A98"/>
    <w:rsid w:val="008A4087"/>
    <w:rsid w:val="008A6986"/>
    <w:rsid w:val="008B4261"/>
    <w:rsid w:val="008C6F4F"/>
    <w:rsid w:val="008D753D"/>
    <w:rsid w:val="00902797"/>
    <w:rsid w:val="009168D3"/>
    <w:rsid w:val="00920C46"/>
    <w:rsid w:val="00922F49"/>
    <w:rsid w:val="00930A2F"/>
    <w:rsid w:val="00941336"/>
    <w:rsid w:val="0094350A"/>
    <w:rsid w:val="009536B0"/>
    <w:rsid w:val="00955937"/>
    <w:rsid w:val="009670BC"/>
    <w:rsid w:val="0096725A"/>
    <w:rsid w:val="00971F4B"/>
    <w:rsid w:val="009C55C0"/>
    <w:rsid w:val="009D15C4"/>
    <w:rsid w:val="009D46F7"/>
    <w:rsid w:val="009D50DD"/>
    <w:rsid w:val="009F35DF"/>
    <w:rsid w:val="00A07AEB"/>
    <w:rsid w:val="00A179FB"/>
    <w:rsid w:val="00A24FCD"/>
    <w:rsid w:val="00A32687"/>
    <w:rsid w:val="00A3778B"/>
    <w:rsid w:val="00A42D35"/>
    <w:rsid w:val="00A47851"/>
    <w:rsid w:val="00A636B3"/>
    <w:rsid w:val="00A73AFE"/>
    <w:rsid w:val="00A7484A"/>
    <w:rsid w:val="00A817D1"/>
    <w:rsid w:val="00AB229C"/>
    <w:rsid w:val="00AB2B56"/>
    <w:rsid w:val="00AB4364"/>
    <w:rsid w:val="00AB6C85"/>
    <w:rsid w:val="00AC3BA3"/>
    <w:rsid w:val="00AD3928"/>
    <w:rsid w:val="00AE15CB"/>
    <w:rsid w:val="00AF3DED"/>
    <w:rsid w:val="00B110EB"/>
    <w:rsid w:val="00B12650"/>
    <w:rsid w:val="00B2037C"/>
    <w:rsid w:val="00B2304E"/>
    <w:rsid w:val="00B44DE8"/>
    <w:rsid w:val="00B470D3"/>
    <w:rsid w:val="00B50E25"/>
    <w:rsid w:val="00B55317"/>
    <w:rsid w:val="00B56047"/>
    <w:rsid w:val="00B661D4"/>
    <w:rsid w:val="00B74FBE"/>
    <w:rsid w:val="00B84176"/>
    <w:rsid w:val="00B861E9"/>
    <w:rsid w:val="00B87CBC"/>
    <w:rsid w:val="00B93FEA"/>
    <w:rsid w:val="00BA154F"/>
    <w:rsid w:val="00BB61EE"/>
    <w:rsid w:val="00BE088B"/>
    <w:rsid w:val="00BE5B8E"/>
    <w:rsid w:val="00C05A9F"/>
    <w:rsid w:val="00C1198D"/>
    <w:rsid w:val="00C25FD2"/>
    <w:rsid w:val="00C36D27"/>
    <w:rsid w:val="00C47856"/>
    <w:rsid w:val="00C5347C"/>
    <w:rsid w:val="00C6765B"/>
    <w:rsid w:val="00C7021B"/>
    <w:rsid w:val="00C73004"/>
    <w:rsid w:val="00C93F51"/>
    <w:rsid w:val="00CA7F89"/>
    <w:rsid w:val="00CB3C52"/>
    <w:rsid w:val="00CD39F9"/>
    <w:rsid w:val="00CF3958"/>
    <w:rsid w:val="00D0139F"/>
    <w:rsid w:val="00D039B5"/>
    <w:rsid w:val="00D302B4"/>
    <w:rsid w:val="00D34FC9"/>
    <w:rsid w:val="00D425A8"/>
    <w:rsid w:val="00D52BA1"/>
    <w:rsid w:val="00D55779"/>
    <w:rsid w:val="00D56EE0"/>
    <w:rsid w:val="00D70935"/>
    <w:rsid w:val="00D75479"/>
    <w:rsid w:val="00D757C5"/>
    <w:rsid w:val="00D81E5E"/>
    <w:rsid w:val="00D86289"/>
    <w:rsid w:val="00D97605"/>
    <w:rsid w:val="00DA24BA"/>
    <w:rsid w:val="00DA49FB"/>
    <w:rsid w:val="00DB1833"/>
    <w:rsid w:val="00DB4B7B"/>
    <w:rsid w:val="00DB6878"/>
    <w:rsid w:val="00DC31A8"/>
    <w:rsid w:val="00DE328B"/>
    <w:rsid w:val="00E0288E"/>
    <w:rsid w:val="00E20B5A"/>
    <w:rsid w:val="00E247A1"/>
    <w:rsid w:val="00E3362C"/>
    <w:rsid w:val="00E4516D"/>
    <w:rsid w:val="00E56CD1"/>
    <w:rsid w:val="00E67788"/>
    <w:rsid w:val="00E72EBE"/>
    <w:rsid w:val="00E753DA"/>
    <w:rsid w:val="00E762AA"/>
    <w:rsid w:val="00E77CB2"/>
    <w:rsid w:val="00EA2F0D"/>
    <w:rsid w:val="00EA588F"/>
    <w:rsid w:val="00EA5D11"/>
    <w:rsid w:val="00EB1FF3"/>
    <w:rsid w:val="00EC3854"/>
    <w:rsid w:val="00EC3FBE"/>
    <w:rsid w:val="00ED6925"/>
    <w:rsid w:val="00EE2A8A"/>
    <w:rsid w:val="00EE405F"/>
    <w:rsid w:val="00F10915"/>
    <w:rsid w:val="00F202D8"/>
    <w:rsid w:val="00F2695A"/>
    <w:rsid w:val="00F26ED4"/>
    <w:rsid w:val="00F32CC8"/>
    <w:rsid w:val="00F33F18"/>
    <w:rsid w:val="00F5336E"/>
    <w:rsid w:val="00F55F07"/>
    <w:rsid w:val="00F647D2"/>
    <w:rsid w:val="00F71635"/>
    <w:rsid w:val="00F81962"/>
    <w:rsid w:val="00F84512"/>
    <w:rsid w:val="00F90DBE"/>
    <w:rsid w:val="00F91336"/>
    <w:rsid w:val="00F95689"/>
    <w:rsid w:val="00FB70A1"/>
    <w:rsid w:val="00FB778E"/>
    <w:rsid w:val="00FB7A5E"/>
    <w:rsid w:val="00FD1267"/>
    <w:rsid w:val="00FF2694"/>
    <w:rsid w:val="00FF5487"/>
  </w:rsids>
  <m:mathPr>
    <m:mathFont m:val="Cambria Math"/>
    <m:brkBin m:val="before"/>
    <m:brkBinSub m:val="--"/>
    <m:smallFrac m:val="0"/>
    <m:dispDef/>
    <m:lMargin m:val="0"/>
    <m:rMargin m:val="0"/>
    <m:defJc m:val="centerGroup"/>
    <m:wrapIndent m:val="1440"/>
    <m:intLim m:val="subSup"/>
    <m:naryLim m:val="undOvr"/>
  </m:mathPr>
  <w:themeFontLang w:val="pt-B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BBE8D"/>
  <w15:chartTrackingRefBased/>
  <w15:docId w15:val="{BBF35C34-C54A-4CEF-85E3-E553CDB0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9F9"/>
  </w:style>
  <w:style w:type="paragraph" w:styleId="Ttulo1">
    <w:name w:val="heading 1"/>
    <w:basedOn w:val="Normal"/>
    <w:next w:val="Normal"/>
    <w:link w:val="Ttulo1Char"/>
    <w:uiPriority w:val="9"/>
    <w:qFormat/>
    <w:rsid w:val="005B1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B1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B1A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B1A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B1A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B1A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B1A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B1A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B1AE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B1AE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B1AE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B1AE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B1AE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B1AE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B1AE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B1AE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B1AE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B1AEE"/>
    <w:rPr>
      <w:rFonts w:eastAsiaTheme="majorEastAsia" w:cstheme="majorBidi"/>
      <w:color w:val="272727" w:themeColor="text1" w:themeTint="D8"/>
    </w:rPr>
  </w:style>
  <w:style w:type="paragraph" w:styleId="Ttulo">
    <w:name w:val="Title"/>
    <w:basedOn w:val="Normal"/>
    <w:next w:val="Normal"/>
    <w:link w:val="TtuloChar"/>
    <w:uiPriority w:val="10"/>
    <w:qFormat/>
    <w:rsid w:val="005B1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B1A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B1AE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B1AE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B1AEE"/>
    <w:pPr>
      <w:spacing w:before="160"/>
      <w:jc w:val="center"/>
    </w:pPr>
    <w:rPr>
      <w:i/>
      <w:iCs/>
      <w:color w:val="404040" w:themeColor="text1" w:themeTint="BF"/>
    </w:rPr>
  </w:style>
  <w:style w:type="character" w:customStyle="1" w:styleId="CitaoChar">
    <w:name w:val="Citação Char"/>
    <w:basedOn w:val="Fontepargpadro"/>
    <w:link w:val="Citao"/>
    <w:uiPriority w:val="29"/>
    <w:rsid w:val="005B1AEE"/>
    <w:rPr>
      <w:i/>
      <w:iCs/>
      <w:color w:val="404040" w:themeColor="text1" w:themeTint="BF"/>
    </w:rPr>
  </w:style>
  <w:style w:type="paragraph" w:styleId="PargrafodaLista">
    <w:name w:val="List Paragraph"/>
    <w:basedOn w:val="Normal"/>
    <w:uiPriority w:val="34"/>
    <w:qFormat/>
    <w:rsid w:val="005B1AEE"/>
    <w:pPr>
      <w:ind w:left="720"/>
      <w:contextualSpacing/>
    </w:pPr>
  </w:style>
  <w:style w:type="character" w:styleId="nfaseIntensa">
    <w:name w:val="Intense Emphasis"/>
    <w:basedOn w:val="Fontepargpadro"/>
    <w:uiPriority w:val="21"/>
    <w:qFormat/>
    <w:rsid w:val="005B1AEE"/>
    <w:rPr>
      <w:i/>
      <w:iCs/>
      <w:color w:val="0F4761" w:themeColor="accent1" w:themeShade="BF"/>
    </w:rPr>
  </w:style>
  <w:style w:type="paragraph" w:styleId="CitaoIntensa">
    <w:name w:val="Intense Quote"/>
    <w:basedOn w:val="Normal"/>
    <w:next w:val="Normal"/>
    <w:link w:val="CitaoIntensaChar"/>
    <w:uiPriority w:val="30"/>
    <w:qFormat/>
    <w:rsid w:val="005B1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B1AEE"/>
    <w:rPr>
      <w:i/>
      <w:iCs/>
      <w:color w:val="0F4761" w:themeColor="accent1" w:themeShade="BF"/>
    </w:rPr>
  </w:style>
  <w:style w:type="character" w:styleId="RefernciaIntensa">
    <w:name w:val="Intense Reference"/>
    <w:basedOn w:val="Fontepargpadro"/>
    <w:uiPriority w:val="32"/>
    <w:qFormat/>
    <w:rsid w:val="005B1AEE"/>
    <w:rPr>
      <w:b/>
      <w:bCs/>
      <w:smallCaps/>
      <w:color w:val="0F4761" w:themeColor="accent1" w:themeShade="BF"/>
      <w:spacing w:val="5"/>
    </w:rPr>
  </w:style>
  <w:style w:type="paragraph" w:styleId="Cabealho">
    <w:name w:val="header"/>
    <w:basedOn w:val="Normal"/>
    <w:link w:val="CabealhoChar"/>
    <w:uiPriority w:val="99"/>
    <w:unhideWhenUsed/>
    <w:rsid w:val="005B1A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1AEE"/>
  </w:style>
  <w:style w:type="paragraph" w:styleId="Rodap">
    <w:name w:val="footer"/>
    <w:basedOn w:val="Normal"/>
    <w:link w:val="RodapChar"/>
    <w:uiPriority w:val="99"/>
    <w:unhideWhenUsed/>
    <w:rsid w:val="005B1AEE"/>
    <w:pPr>
      <w:tabs>
        <w:tab w:val="center" w:pos="4252"/>
        <w:tab w:val="right" w:pos="8504"/>
      </w:tabs>
      <w:spacing w:after="0" w:line="240" w:lineRule="auto"/>
    </w:pPr>
  </w:style>
  <w:style w:type="character" w:customStyle="1" w:styleId="RodapChar">
    <w:name w:val="Rodapé Char"/>
    <w:basedOn w:val="Fontepargpadro"/>
    <w:link w:val="Rodap"/>
    <w:uiPriority w:val="99"/>
    <w:rsid w:val="005B1AEE"/>
  </w:style>
  <w:style w:type="character" w:styleId="Hyperlink">
    <w:name w:val="Hyperlink"/>
    <w:basedOn w:val="Fontepargpadro"/>
    <w:uiPriority w:val="99"/>
    <w:unhideWhenUsed/>
    <w:rsid w:val="005B1AEE"/>
    <w:rPr>
      <w:color w:val="467886" w:themeColor="hyperlink"/>
      <w:u w:val="single"/>
    </w:rPr>
  </w:style>
  <w:style w:type="character" w:styleId="MenoPendente">
    <w:name w:val="Unresolved Mention"/>
    <w:basedOn w:val="Fontepargpadro"/>
    <w:uiPriority w:val="99"/>
    <w:semiHidden/>
    <w:unhideWhenUsed/>
    <w:rsid w:val="005B1AEE"/>
    <w:rPr>
      <w:color w:val="605E5C"/>
      <w:shd w:val="clear" w:color="auto" w:fill="E1DFDD"/>
    </w:rPr>
  </w:style>
  <w:style w:type="paragraph" w:customStyle="1" w:styleId="citacao">
    <w:name w:val="citacao"/>
    <w:basedOn w:val="Normal"/>
    <w:rsid w:val="00B2304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Corpodetexto3">
    <w:name w:val="Body Text 3"/>
    <w:basedOn w:val="Normal"/>
    <w:link w:val="Corpodetexto3Char"/>
    <w:rsid w:val="00165AB2"/>
    <w:pPr>
      <w:spacing w:after="120" w:line="240" w:lineRule="auto"/>
    </w:pPr>
    <w:rPr>
      <w:rFonts w:ascii="Times New Roman" w:eastAsia="Times New Roman" w:hAnsi="Times New Roman" w:cs="Times New Roman"/>
      <w:kern w:val="0"/>
      <w:sz w:val="16"/>
      <w:szCs w:val="16"/>
      <w:lang w:eastAsia="pt-BR"/>
      <w14:ligatures w14:val="none"/>
    </w:rPr>
  </w:style>
  <w:style w:type="character" w:customStyle="1" w:styleId="Corpodetexto3Char">
    <w:name w:val="Corpo de texto 3 Char"/>
    <w:basedOn w:val="Fontepargpadro"/>
    <w:link w:val="Corpodetexto3"/>
    <w:rsid w:val="00165AB2"/>
    <w:rPr>
      <w:rFonts w:ascii="Times New Roman" w:eastAsia="Times New Roman" w:hAnsi="Times New Roman" w:cs="Times New Roman"/>
      <w:kern w:val="0"/>
      <w:sz w:val="16"/>
      <w:szCs w:val="16"/>
      <w:lang w:eastAsia="pt-BR"/>
      <w14:ligatures w14:val="none"/>
    </w:rPr>
  </w:style>
  <w:style w:type="paragraph" w:styleId="NormalWeb">
    <w:name w:val="Normal (Web)"/>
    <w:basedOn w:val="Normal"/>
    <w:uiPriority w:val="99"/>
    <w:unhideWhenUsed/>
    <w:rsid w:val="007C5BE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837C60"/>
    <w:rPr>
      <w:b/>
      <w:bCs/>
    </w:rPr>
  </w:style>
  <w:style w:type="paragraph" w:customStyle="1" w:styleId="identificacaoprocesso">
    <w:name w:val="identificacao_processo"/>
    <w:basedOn w:val="Normal"/>
    <w:rsid w:val="00837C6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parte">
    <w:name w:val="parte"/>
    <w:basedOn w:val="Normal"/>
    <w:rsid w:val="00837C6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tipoparte">
    <w:name w:val="tipo_parte"/>
    <w:basedOn w:val="Fontepargpadro"/>
    <w:rsid w:val="00837C60"/>
  </w:style>
  <w:style w:type="character" w:customStyle="1" w:styleId="nomeparte">
    <w:name w:val="nome_parte"/>
    <w:basedOn w:val="Fontepargpadro"/>
    <w:rsid w:val="00837C60"/>
  </w:style>
  <w:style w:type="paragraph" w:customStyle="1" w:styleId="titulo">
    <w:name w:val="titulo"/>
    <w:basedOn w:val="Normal"/>
    <w:rsid w:val="00837C6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paragrafopadrao">
    <w:name w:val="paragrafopadrao"/>
    <w:basedOn w:val="Normal"/>
    <w:rsid w:val="00837C6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arjaassinatura">
    <w:name w:val="tarja_assinatura"/>
    <w:basedOn w:val="Normal"/>
    <w:rsid w:val="00837C6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endereco">
    <w:name w:val="endereco"/>
    <w:basedOn w:val="Normal"/>
    <w:rsid w:val="00837C6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anonimizar">
    <w:name w:val="anonimizar"/>
    <w:basedOn w:val="Fontepargpadro"/>
    <w:rsid w:val="00837C60"/>
  </w:style>
  <w:style w:type="paragraph" w:customStyle="1" w:styleId="representante">
    <w:name w:val="representante"/>
    <w:basedOn w:val="Normal"/>
    <w:rsid w:val="004A26C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tipoparterepresentante">
    <w:name w:val="tipo_parte_representante"/>
    <w:basedOn w:val="Fontepargpadro"/>
    <w:rsid w:val="004A26CE"/>
  </w:style>
  <w:style w:type="character" w:customStyle="1" w:styleId="nomeparterepresentante">
    <w:name w:val="nome_parte_representante"/>
    <w:basedOn w:val="Fontepargpadro"/>
    <w:rsid w:val="004A2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1768">
      <w:bodyDiv w:val="1"/>
      <w:marLeft w:val="0"/>
      <w:marRight w:val="0"/>
      <w:marTop w:val="0"/>
      <w:marBottom w:val="0"/>
      <w:divBdr>
        <w:top w:val="none" w:sz="0" w:space="0" w:color="auto"/>
        <w:left w:val="none" w:sz="0" w:space="0" w:color="auto"/>
        <w:bottom w:val="none" w:sz="0" w:space="0" w:color="auto"/>
        <w:right w:val="none" w:sz="0" w:space="0" w:color="auto"/>
      </w:divBdr>
    </w:div>
    <w:div w:id="478115934">
      <w:bodyDiv w:val="1"/>
      <w:marLeft w:val="0"/>
      <w:marRight w:val="0"/>
      <w:marTop w:val="0"/>
      <w:marBottom w:val="0"/>
      <w:divBdr>
        <w:top w:val="none" w:sz="0" w:space="0" w:color="auto"/>
        <w:left w:val="none" w:sz="0" w:space="0" w:color="auto"/>
        <w:bottom w:val="none" w:sz="0" w:space="0" w:color="auto"/>
        <w:right w:val="none" w:sz="0" w:space="0" w:color="auto"/>
      </w:divBdr>
    </w:div>
    <w:div w:id="714431970">
      <w:bodyDiv w:val="1"/>
      <w:marLeft w:val="0"/>
      <w:marRight w:val="0"/>
      <w:marTop w:val="0"/>
      <w:marBottom w:val="0"/>
      <w:divBdr>
        <w:top w:val="none" w:sz="0" w:space="0" w:color="auto"/>
        <w:left w:val="none" w:sz="0" w:space="0" w:color="auto"/>
        <w:bottom w:val="none" w:sz="0" w:space="0" w:color="auto"/>
        <w:right w:val="none" w:sz="0" w:space="0" w:color="auto"/>
      </w:divBdr>
    </w:div>
    <w:div w:id="1114977827">
      <w:bodyDiv w:val="1"/>
      <w:marLeft w:val="0"/>
      <w:marRight w:val="0"/>
      <w:marTop w:val="0"/>
      <w:marBottom w:val="0"/>
      <w:divBdr>
        <w:top w:val="none" w:sz="0" w:space="0" w:color="auto"/>
        <w:left w:val="none" w:sz="0" w:space="0" w:color="auto"/>
        <w:bottom w:val="none" w:sz="0" w:space="0" w:color="auto"/>
        <w:right w:val="none" w:sz="0" w:space="0" w:color="auto"/>
      </w:divBdr>
    </w:div>
    <w:div w:id="1721704460">
      <w:bodyDiv w:val="1"/>
      <w:marLeft w:val="0"/>
      <w:marRight w:val="0"/>
      <w:marTop w:val="0"/>
      <w:marBottom w:val="0"/>
      <w:divBdr>
        <w:top w:val="none" w:sz="0" w:space="0" w:color="auto"/>
        <w:left w:val="none" w:sz="0" w:space="0" w:color="auto"/>
        <w:bottom w:val="none" w:sz="0" w:space="0" w:color="auto"/>
        <w:right w:val="none" w:sz="0" w:space="0" w:color="auto"/>
      </w:divBdr>
    </w:div>
    <w:div w:id="21365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jfrs.jus.br/eprocV2/controlador.php?acao=exibir_documento_evento&amp;StrNumProcesso=50116146420124047107&amp;is2g=false&amp;strSigUfProcesso=RS&amp;iddocumento=711368725038760661160000000003&amp;page=&amp;hash=85cc8601f0c10efe202139cf181749c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gularize.pgfn.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nellileiloes.com.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proc.jfrs.jus.br/eprocV2/controlador.php?acao=exibir_documento_evento&amp;StrNumProcesso=50116146420124047107&amp;is2g=false&amp;strSigUfProcesso=RS&amp;iddocumento=711689251413014226641239281052&amp;page=&amp;hash=637d4357062b985f453e9d030e99ad90" TargetMode="External"/><Relationship Id="rId4" Type="http://schemas.openxmlformats.org/officeDocument/2006/relationships/settings" Target="settings.xml"/><Relationship Id="rId9" Type="http://schemas.openxmlformats.org/officeDocument/2006/relationships/hyperlink" Target="https://eproc.jfrs.jus.br/eprocV2/controlador.php?acao=exibir_documento_evento&amp;StrNumProcesso=50116146420124047107&amp;is2g=false&amp;strSigUfProcesso=RS&amp;iddocumento=711368725038760661160000000003&amp;page=&amp;hash=85cc8601f0c10efe202139cf181749cc"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lunellibg@hotmail.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B2CC0-A595-4290-BDC4-C4039588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2370</Words>
  <Characters>12801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gastaldo</dc:creator>
  <cp:keywords/>
  <dc:description/>
  <cp:lastModifiedBy>lunelli leiloes</cp:lastModifiedBy>
  <cp:revision>11</cp:revision>
  <cp:lastPrinted>2026-06-05T18:41:00Z</cp:lastPrinted>
  <dcterms:created xsi:type="dcterms:W3CDTF">2026-06-05T18:17:00Z</dcterms:created>
  <dcterms:modified xsi:type="dcterms:W3CDTF">2026-06-24T20:45:00Z</dcterms:modified>
</cp:coreProperties>
</file>